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611" w:rsidRPr="00AA37B3" w:rsidRDefault="002C0B76" w:rsidP="00986D51">
      <w:pPr>
        <w:spacing w:line="240" w:lineRule="auto"/>
        <w:jc w:val="left"/>
        <w:textAlignment w:val="baseline"/>
        <w:rPr>
          <w:rFonts w:asciiTheme="majorHAnsi" w:eastAsia="Times New Roman" w:hAnsiTheme="majorHAnsi" w:cstheme="majorHAnsi"/>
          <w:color w:val="081B32"/>
          <w:spacing w:val="12"/>
          <w:lang w:eastAsia="pl-PL"/>
        </w:rPr>
      </w:pPr>
      <w:r w:rsidRPr="00AA37B3">
        <w:rPr>
          <w:rFonts w:asciiTheme="majorHAnsi" w:eastAsia="Times New Roman" w:hAnsiTheme="majorHAnsi" w:cstheme="majorHAnsi"/>
          <w:color w:val="081B32"/>
          <w:spacing w:val="12"/>
          <w:lang w:eastAsia="pl-PL"/>
        </w:rPr>
        <w:t xml:space="preserve">Wielkopolskie Centrum Pulmonologii i Torakochirurgii od wielu lat widnieje na ogólnopolskiej mapie ośrodków transplantacji płuc. Pierwsze przeszczepienie </w:t>
      </w:r>
      <w:r w:rsidR="00986D51">
        <w:rPr>
          <w:rFonts w:asciiTheme="majorHAnsi" w:eastAsia="Times New Roman" w:hAnsiTheme="majorHAnsi" w:cstheme="majorHAnsi"/>
          <w:color w:val="081B32"/>
          <w:spacing w:val="12"/>
          <w:lang w:eastAsia="pl-PL"/>
        </w:rPr>
        <w:t>miało miejsce w naszym szpitalu</w:t>
      </w:r>
      <w:r w:rsidRPr="00AA37B3">
        <w:rPr>
          <w:rFonts w:asciiTheme="majorHAnsi" w:eastAsia="Times New Roman" w:hAnsiTheme="majorHAnsi" w:cstheme="majorHAnsi"/>
          <w:color w:val="081B32"/>
          <w:spacing w:val="12"/>
          <w:lang w:eastAsia="pl-PL"/>
        </w:rPr>
        <w:t xml:space="preserve"> </w:t>
      </w:r>
      <w:r w:rsidR="00986D51">
        <w:rPr>
          <w:rFonts w:asciiTheme="majorHAnsi" w:eastAsia="Times New Roman" w:hAnsiTheme="majorHAnsi" w:cstheme="majorHAnsi"/>
          <w:color w:val="081B32"/>
          <w:spacing w:val="12"/>
          <w:lang w:eastAsia="pl-PL"/>
        </w:rPr>
        <w:br/>
      </w:r>
      <w:r w:rsidRPr="00AA37B3">
        <w:rPr>
          <w:rFonts w:asciiTheme="majorHAnsi" w:eastAsia="Times New Roman" w:hAnsiTheme="majorHAnsi" w:cstheme="majorHAnsi"/>
          <w:color w:val="081B32"/>
          <w:spacing w:val="12"/>
          <w:lang w:eastAsia="pl-PL"/>
        </w:rPr>
        <w:t>w 2015 roku. Program z roku na rok rozwijał się dynamicznie, jednak z powodu pandemii COVID-19 został zawieszony. Obecnie postanowiliśmy reaktywować Program Transplantacji Płuc</w:t>
      </w:r>
      <w:r w:rsidR="00986D51">
        <w:rPr>
          <w:rFonts w:asciiTheme="majorHAnsi" w:eastAsia="Times New Roman" w:hAnsiTheme="majorHAnsi" w:cstheme="majorHAnsi"/>
          <w:color w:val="081B32"/>
          <w:spacing w:val="12"/>
          <w:lang w:eastAsia="pl-PL"/>
        </w:rPr>
        <w:t>. 23.01.</w:t>
      </w:r>
      <w:r w:rsidR="00F01611" w:rsidRPr="00AA37B3">
        <w:rPr>
          <w:rFonts w:asciiTheme="majorHAnsi" w:eastAsia="Times New Roman" w:hAnsiTheme="majorHAnsi" w:cstheme="majorHAnsi"/>
          <w:color w:val="081B32"/>
          <w:spacing w:val="12"/>
          <w:lang w:eastAsia="pl-PL"/>
        </w:rPr>
        <w:t xml:space="preserve">2024 </w:t>
      </w:r>
      <w:r w:rsidR="00F01611" w:rsidRPr="00F01611">
        <w:rPr>
          <w:rFonts w:asciiTheme="majorHAnsi" w:eastAsia="Times New Roman" w:hAnsiTheme="majorHAnsi" w:cstheme="majorHAnsi"/>
          <w:color w:val="081B32"/>
          <w:spacing w:val="12"/>
          <w:lang w:eastAsia="pl-PL"/>
        </w:rPr>
        <w:t>Wielkopolskie Centrum Pulmonologii i Torakochirurgii im. Eugenii i Janusza Zeylandów uzyskało pozwolenie Ministra Zdrowia na przechowywanie i przeszczepianie płuc od dawców zmarłych, na okres 5 lat.</w:t>
      </w:r>
      <w:r w:rsidR="00F01611" w:rsidRPr="00AA37B3">
        <w:rPr>
          <w:rFonts w:asciiTheme="majorHAnsi" w:eastAsia="Times New Roman" w:hAnsiTheme="majorHAnsi" w:cstheme="majorHAnsi"/>
          <w:color w:val="081B32"/>
          <w:spacing w:val="12"/>
          <w:lang w:eastAsia="pl-PL"/>
        </w:rPr>
        <w:t xml:space="preserve"> </w:t>
      </w:r>
    </w:p>
    <w:p w:rsidR="00F01611" w:rsidRPr="00F01611" w:rsidRDefault="00F01611" w:rsidP="00986D51">
      <w:pPr>
        <w:spacing w:line="240" w:lineRule="auto"/>
        <w:jc w:val="left"/>
        <w:textAlignment w:val="baseline"/>
        <w:rPr>
          <w:rFonts w:asciiTheme="majorHAnsi" w:eastAsia="Times New Roman" w:hAnsiTheme="majorHAnsi" w:cstheme="majorHAnsi"/>
          <w:color w:val="081B32"/>
          <w:spacing w:val="12"/>
          <w:lang w:eastAsia="pl-PL"/>
        </w:rPr>
      </w:pPr>
      <w:r w:rsidRPr="00AA37B3">
        <w:rPr>
          <w:rFonts w:asciiTheme="majorHAnsi" w:eastAsia="Times New Roman" w:hAnsiTheme="majorHAnsi" w:cstheme="majorHAnsi"/>
          <w:color w:val="081B32"/>
          <w:spacing w:val="12"/>
          <w:lang w:eastAsia="pl-PL"/>
        </w:rPr>
        <w:t xml:space="preserve">Opiekę i  oficjalny patronat nad Programem Transplantacji Płuc w WCPiT objął </w:t>
      </w:r>
      <w:r w:rsidRPr="00AA37B3">
        <w:rPr>
          <w:rFonts w:asciiTheme="majorHAnsi" w:eastAsia="Times New Roman" w:hAnsiTheme="majorHAnsi" w:cstheme="majorHAnsi"/>
          <w:i/>
          <w:iCs/>
          <w:color w:val="081B32"/>
          <w:spacing w:val="12"/>
          <w:lang w:val="de-DE" w:eastAsia="pl-PL"/>
        </w:rPr>
        <w:t xml:space="preserve">Allgemeines Krankenhaus der Stadt Wien – AKH w Wiedniu – </w:t>
      </w:r>
      <w:r w:rsidRPr="00AA37B3">
        <w:rPr>
          <w:rFonts w:asciiTheme="majorHAnsi" w:eastAsia="Times New Roman" w:hAnsiTheme="majorHAnsi" w:cstheme="majorHAnsi"/>
          <w:i/>
          <w:iCs/>
          <w:color w:val="081B32"/>
          <w:spacing w:val="12"/>
          <w:lang w:eastAsia="pl-PL"/>
        </w:rPr>
        <w:t>obecnie uważany za najlepszy program Transplantacji Płuc na świecie.</w:t>
      </w:r>
      <w:r w:rsidRPr="00AA37B3">
        <w:rPr>
          <w:rFonts w:asciiTheme="majorHAnsi" w:eastAsia="Times New Roman" w:hAnsiTheme="majorHAnsi" w:cstheme="majorHAnsi"/>
          <w:i/>
          <w:iCs/>
          <w:color w:val="081B32"/>
          <w:spacing w:val="12"/>
          <w:lang w:val="de-DE" w:eastAsia="pl-PL"/>
        </w:rPr>
        <w:t xml:space="preserve"> </w:t>
      </w:r>
    </w:p>
    <w:p w:rsidR="002C0B76" w:rsidRDefault="002C0B76" w:rsidP="00986D51">
      <w:pPr>
        <w:spacing w:line="240" w:lineRule="auto"/>
        <w:jc w:val="left"/>
        <w:textAlignment w:val="baseline"/>
        <w:rPr>
          <w:rFonts w:asciiTheme="majorHAnsi" w:eastAsia="Times New Roman" w:hAnsiTheme="majorHAnsi" w:cstheme="majorHAnsi"/>
          <w:b/>
          <w:bCs/>
          <w:color w:val="081B32"/>
          <w:spacing w:val="12"/>
          <w:lang w:eastAsia="pl-PL"/>
        </w:rPr>
      </w:pPr>
    </w:p>
    <w:p w:rsidR="001337D9" w:rsidRPr="001337D9" w:rsidRDefault="001337D9" w:rsidP="00986D51">
      <w:pPr>
        <w:spacing w:line="240" w:lineRule="auto"/>
        <w:jc w:val="left"/>
        <w:textAlignment w:val="baseline"/>
        <w:rPr>
          <w:rFonts w:asciiTheme="majorHAnsi" w:eastAsia="Times New Roman" w:hAnsiTheme="majorHAnsi" w:cstheme="majorHAnsi"/>
          <w:b/>
          <w:bCs/>
          <w:color w:val="081B32"/>
          <w:spacing w:val="12"/>
          <w:lang w:eastAsia="pl-PL"/>
        </w:rPr>
      </w:pPr>
      <w:r w:rsidRPr="001337D9">
        <w:rPr>
          <w:rFonts w:asciiTheme="majorHAnsi" w:eastAsia="Times New Roman" w:hAnsiTheme="majorHAnsi" w:cstheme="majorHAnsi"/>
          <w:b/>
          <w:bCs/>
          <w:color w:val="081B32"/>
          <w:spacing w:val="12"/>
          <w:lang w:eastAsia="pl-PL"/>
        </w:rPr>
        <w:t xml:space="preserve">Transplantacja płuc </w:t>
      </w:r>
      <w:r w:rsidRPr="008B3805">
        <w:rPr>
          <w:rFonts w:asciiTheme="majorHAnsi" w:eastAsia="Times New Roman" w:hAnsiTheme="majorHAnsi" w:cstheme="majorHAnsi"/>
          <w:b/>
          <w:bCs/>
          <w:color w:val="081B32"/>
          <w:spacing w:val="12"/>
          <w:lang w:eastAsia="pl-PL"/>
        </w:rPr>
        <w:t xml:space="preserve">to procedura wykonywana u pacjentów </w:t>
      </w:r>
      <w:r w:rsidRPr="001337D9">
        <w:rPr>
          <w:rFonts w:asciiTheme="majorHAnsi" w:eastAsia="Times New Roman" w:hAnsiTheme="majorHAnsi" w:cstheme="majorHAnsi"/>
          <w:b/>
          <w:bCs/>
          <w:color w:val="081B32"/>
          <w:spacing w:val="12"/>
          <w:lang w:eastAsia="pl-PL"/>
        </w:rPr>
        <w:t xml:space="preserve">z ciężkim i nieodwracalnym uszkodzeniem narządu, u których wyczerpane zostały </w:t>
      </w:r>
      <w:r w:rsidRPr="008B3805">
        <w:rPr>
          <w:rFonts w:asciiTheme="majorHAnsi" w:eastAsia="Times New Roman" w:hAnsiTheme="majorHAnsi" w:cstheme="majorHAnsi"/>
          <w:b/>
          <w:bCs/>
          <w:color w:val="081B32"/>
          <w:spacing w:val="12"/>
          <w:lang w:eastAsia="pl-PL"/>
        </w:rPr>
        <w:t xml:space="preserve">wszelkie dostępne </w:t>
      </w:r>
      <w:r w:rsidRPr="001337D9">
        <w:rPr>
          <w:rFonts w:asciiTheme="majorHAnsi" w:eastAsia="Times New Roman" w:hAnsiTheme="majorHAnsi" w:cstheme="majorHAnsi"/>
          <w:b/>
          <w:bCs/>
          <w:color w:val="081B32"/>
          <w:spacing w:val="12"/>
          <w:lang w:eastAsia="pl-PL"/>
        </w:rPr>
        <w:t xml:space="preserve">możliwości leczenia. </w:t>
      </w:r>
    </w:p>
    <w:p w:rsidR="001337D9" w:rsidRDefault="001337D9" w:rsidP="00986D51">
      <w:pPr>
        <w:spacing w:line="240" w:lineRule="auto"/>
        <w:jc w:val="left"/>
        <w:textAlignment w:val="baseline"/>
        <w:rPr>
          <w:rFonts w:asciiTheme="majorHAnsi" w:eastAsia="Times New Roman" w:hAnsiTheme="majorHAnsi" w:cstheme="majorHAnsi"/>
          <w:color w:val="081B32"/>
          <w:spacing w:val="12"/>
          <w:lang w:eastAsia="pl-PL"/>
        </w:rPr>
      </w:pPr>
      <w:r w:rsidRPr="008B3805">
        <w:rPr>
          <w:rFonts w:asciiTheme="majorHAnsi" w:eastAsia="Times New Roman" w:hAnsiTheme="majorHAnsi" w:cstheme="majorHAnsi"/>
          <w:color w:val="081B32"/>
          <w:spacing w:val="12"/>
          <w:lang w:eastAsia="pl-PL"/>
        </w:rPr>
        <w:t>Przeszczepienie płuc można zaproponować tym chorym</w:t>
      </w:r>
      <w:r w:rsidRPr="001337D9">
        <w:rPr>
          <w:rFonts w:asciiTheme="majorHAnsi" w:eastAsia="Times New Roman" w:hAnsiTheme="majorHAnsi" w:cstheme="majorHAnsi"/>
          <w:color w:val="081B32"/>
          <w:spacing w:val="12"/>
          <w:lang w:eastAsia="pl-PL"/>
        </w:rPr>
        <w:t xml:space="preserve">, </w:t>
      </w:r>
      <w:r w:rsidRPr="008B3805">
        <w:rPr>
          <w:rFonts w:asciiTheme="majorHAnsi" w:eastAsia="Times New Roman" w:hAnsiTheme="majorHAnsi" w:cstheme="majorHAnsi"/>
          <w:color w:val="081B32"/>
          <w:spacing w:val="12"/>
          <w:lang w:eastAsia="pl-PL"/>
        </w:rPr>
        <w:t xml:space="preserve">u </w:t>
      </w:r>
      <w:r w:rsidRPr="001337D9">
        <w:rPr>
          <w:rFonts w:asciiTheme="majorHAnsi" w:eastAsia="Times New Roman" w:hAnsiTheme="majorHAnsi" w:cstheme="majorHAnsi"/>
          <w:color w:val="081B32"/>
          <w:spacing w:val="12"/>
          <w:lang w:eastAsia="pl-PL"/>
        </w:rPr>
        <w:t>któr</w:t>
      </w:r>
      <w:r w:rsidRPr="008B3805">
        <w:rPr>
          <w:rFonts w:asciiTheme="majorHAnsi" w:eastAsia="Times New Roman" w:hAnsiTheme="majorHAnsi" w:cstheme="majorHAnsi"/>
          <w:color w:val="081B32"/>
          <w:spacing w:val="12"/>
          <w:lang w:eastAsia="pl-PL"/>
        </w:rPr>
        <w:t>ych</w:t>
      </w:r>
      <w:r w:rsidRPr="001337D9">
        <w:rPr>
          <w:rFonts w:asciiTheme="majorHAnsi" w:eastAsia="Times New Roman" w:hAnsiTheme="majorHAnsi" w:cstheme="majorHAnsi"/>
          <w:color w:val="081B32"/>
          <w:spacing w:val="12"/>
          <w:lang w:eastAsia="pl-PL"/>
        </w:rPr>
        <w:t xml:space="preserve"> </w:t>
      </w:r>
      <w:r w:rsidRPr="008B3805">
        <w:rPr>
          <w:rFonts w:asciiTheme="majorHAnsi" w:eastAsia="Times New Roman" w:hAnsiTheme="majorHAnsi" w:cstheme="majorHAnsi"/>
          <w:color w:val="081B32"/>
          <w:spacing w:val="12"/>
          <w:lang w:eastAsia="pl-PL"/>
        </w:rPr>
        <w:t xml:space="preserve">występuje wysokie ryzyko zgonu w ciągu </w:t>
      </w:r>
      <w:r w:rsidRPr="001337D9">
        <w:rPr>
          <w:rFonts w:asciiTheme="majorHAnsi" w:eastAsia="Times New Roman" w:hAnsiTheme="majorHAnsi" w:cstheme="majorHAnsi"/>
          <w:color w:val="081B32"/>
          <w:spacing w:val="12"/>
          <w:lang w:eastAsia="pl-PL"/>
        </w:rPr>
        <w:t xml:space="preserve">najbliższych 2 lat </w:t>
      </w:r>
      <w:r w:rsidRPr="008B3805">
        <w:rPr>
          <w:rFonts w:asciiTheme="majorHAnsi" w:eastAsia="Times New Roman" w:hAnsiTheme="majorHAnsi" w:cstheme="majorHAnsi"/>
          <w:color w:val="081B32"/>
          <w:spacing w:val="12"/>
          <w:lang w:eastAsia="pl-PL"/>
        </w:rPr>
        <w:t>z powodu choroby płuc i którzy mają wysokie prawdopodobieństwo przeżycia co najmniej 5 lat po przeszczepieniu.</w:t>
      </w:r>
      <w:r w:rsidRPr="001337D9">
        <w:rPr>
          <w:rFonts w:asciiTheme="majorHAnsi" w:eastAsia="Times New Roman" w:hAnsiTheme="majorHAnsi" w:cstheme="majorHAnsi"/>
          <w:color w:val="081B32"/>
          <w:spacing w:val="12"/>
          <w:lang w:eastAsia="pl-PL"/>
        </w:rPr>
        <w:br/>
      </w:r>
    </w:p>
    <w:p w:rsidR="008B3805" w:rsidRDefault="008B3805" w:rsidP="00986D51">
      <w:pPr>
        <w:spacing w:line="240" w:lineRule="auto"/>
        <w:jc w:val="left"/>
        <w:textAlignment w:val="baseline"/>
        <w:rPr>
          <w:rFonts w:asciiTheme="majorHAnsi" w:eastAsia="Times New Roman" w:hAnsiTheme="majorHAnsi" w:cstheme="majorHAnsi"/>
          <w:b/>
          <w:bCs/>
          <w:color w:val="081B32"/>
          <w:spacing w:val="12"/>
          <w:lang w:eastAsia="pl-PL"/>
        </w:rPr>
      </w:pPr>
      <w:r w:rsidRPr="008B3805">
        <w:rPr>
          <w:rFonts w:asciiTheme="majorHAnsi" w:eastAsia="Times New Roman" w:hAnsiTheme="majorHAnsi" w:cstheme="majorHAnsi"/>
          <w:b/>
          <w:bCs/>
          <w:color w:val="081B32"/>
          <w:spacing w:val="12"/>
          <w:lang w:eastAsia="pl-PL"/>
        </w:rPr>
        <w:t xml:space="preserve">Zgłoszenia potencjalnych biorców płuc </w:t>
      </w:r>
      <w:r w:rsidRPr="008B3805">
        <w:rPr>
          <w:rFonts w:asciiTheme="majorHAnsi" w:eastAsia="Times New Roman" w:hAnsiTheme="majorHAnsi" w:cstheme="majorHAnsi"/>
          <w:color w:val="081B32"/>
          <w:spacing w:val="12"/>
          <w:lang w:eastAsia="pl-PL"/>
        </w:rPr>
        <w:t xml:space="preserve">dokonuje </w:t>
      </w:r>
      <w:r>
        <w:rPr>
          <w:rFonts w:asciiTheme="majorHAnsi" w:eastAsia="Times New Roman" w:hAnsiTheme="majorHAnsi" w:cstheme="majorHAnsi"/>
          <w:color w:val="081B32"/>
          <w:spacing w:val="12"/>
          <w:lang w:eastAsia="pl-PL"/>
        </w:rPr>
        <w:t>lekarz</w:t>
      </w:r>
      <w:r w:rsidRPr="008B3805">
        <w:rPr>
          <w:rFonts w:asciiTheme="majorHAnsi" w:eastAsia="Times New Roman" w:hAnsiTheme="majorHAnsi" w:cstheme="majorHAnsi"/>
          <w:color w:val="081B32"/>
          <w:spacing w:val="12"/>
          <w:lang w:eastAsia="pl-PL"/>
        </w:rPr>
        <w:t xml:space="preserve"> prowadząc</w:t>
      </w:r>
      <w:r>
        <w:rPr>
          <w:rFonts w:asciiTheme="majorHAnsi" w:eastAsia="Times New Roman" w:hAnsiTheme="majorHAnsi" w:cstheme="majorHAnsi"/>
          <w:color w:val="081B32"/>
          <w:spacing w:val="12"/>
          <w:lang w:eastAsia="pl-PL"/>
        </w:rPr>
        <w:t xml:space="preserve">y poprzez wypełnienie </w:t>
      </w:r>
      <w:r w:rsidRPr="008B3805">
        <w:rPr>
          <w:rFonts w:asciiTheme="majorHAnsi" w:eastAsia="Times New Roman" w:hAnsiTheme="majorHAnsi" w:cstheme="majorHAnsi"/>
          <w:color w:val="081B32"/>
          <w:spacing w:val="12"/>
          <w:lang w:eastAsia="pl-PL"/>
        </w:rPr>
        <w:t xml:space="preserve">i przesłanie </w:t>
      </w:r>
      <w:r w:rsidRPr="008B3805">
        <w:rPr>
          <w:rFonts w:asciiTheme="majorHAnsi" w:eastAsia="Times New Roman" w:hAnsiTheme="majorHAnsi" w:cstheme="majorHAnsi"/>
          <w:b/>
          <w:bCs/>
          <w:color w:val="081B32"/>
          <w:spacing w:val="12"/>
          <w:lang w:eastAsia="pl-PL"/>
        </w:rPr>
        <w:t>KART</w:t>
      </w:r>
      <w:r w:rsidR="007F43E0">
        <w:rPr>
          <w:rFonts w:asciiTheme="majorHAnsi" w:eastAsia="Times New Roman" w:hAnsiTheme="majorHAnsi" w:cstheme="majorHAnsi"/>
          <w:b/>
          <w:bCs/>
          <w:color w:val="081B32"/>
          <w:spacing w:val="12"/>
          <w:lang w:eastAsia="pl-PL"/>
        </w:rPr>
        <w:t>Y</w:t>
      </w:r>
      <w:r w:rsidRPr="008B3805">
        <w:rPr>
          <w:rFonts w:asciiTheme="majorHAnsi" w:eastAsia="Times New Roman" w:hAnsiTheme="majorHAnsi" w:cstheme="majorHAnsi"/>
          <w:b/>
          <w:bCs/>
          <w:color w:val="081B32"/>
          <w:spacing w:val="12"/>
          <w:lang w:eastAsia="pl-PL"/>
        </w:rPr>
        <w:t xml:space="preserve"> ZGŁOSZENIA POTELNCJALNEGO BIORCY DO </w:t>
      </w:r>
      <w:r w:rsidR="007F43E0">
        <w:rPr>
          <w:rFonts w:asciiTheme="majorHAnsi" w:eastAsia="Times New Roman" w:hAnsiTheme="majorHAnsi" w:cstheme="majorHAnsi"/>
          <w:b/>
          <w:bCs/>
          <w:color w:val="081B32"/>
          <w:spacing w:val="12"/>
          <w:lang w:eastAsia="pl-PL"/>
        </w:rPr>
        <w:t>TRANSPLANTACJI</w:t>
      </w:r>
      <w:r w:rsidRPr="008B3805">
        <w:rPr>
          <w:rFonts w:asciiTheme="majorHAnsi" w:eastAsia="Times New Roman" w:hAnsiTheme="majorHAnsi" w:cstheme="majorHAnsi"/>
          <w:b/>
          <w:bCs/>
          <w:color w:val="081B32"/>
          <w:spacing w:val="12"/>
          <w:lang w:eastAsia="pl-PL"/>
        </w:rPr>
        <w:t xml:space="preserve"> PŁUC</w:t>
      </w:r>
      <w:r w:rsidR="000A02B0">
        <w:rPr>
          <w:rFonts w:asciiTheme="majorHAnsi" w:eastAsia="Times New Roman" w:hAnsiTheme="majorHAnsi" w:cstheme="majorHAnsi"/>
          <w:b/>
          <w:bCs/>
          <w:color w:val="081B32"/>
          <w:spacing w:val="12"/>
          <w:lang w:eastAsia="pl-PL"/>
        </w:rPr>
        <w:t xml:space="preserve"> (załącznik na dole strony)</w:t>
      </w:r>
      <w:r w:rsidR="007F43E0">
        <w:rPr>
          <w:rFonts w:asciiTheme="majorHAnsi" w:eastAsia="Times New Roman" w:hAnsiTheme="majorHAnsi" w:cstheme="majorHAnsi"/>
          <w:b/>
          <w:bCs/>
          <w:color w:val="081B32"/>
          <w:spacing w:val="12"/>
          <w:lang w:eastAsia="pl-PL"/>
        </w:rPr>
        <w:t xml:space="preserve"> </w:t>
      </w:r>
      <w:r w:rsidR="007F43E0" w:rsidRPr="007F43E0">
        <w:rPr>
          <w:rFonts w:asciiTheme="majorHAnsi" w:eastAsia="Times New Roman" w:hAnsiTheme="majorHAnsi" w:cstheme="majorHAnsi"/>
          <w:color w:val="081B32"/>
          <w:spacing w:val="12"/>
          <w:lang w:eastAsia="pl-PL"/>
        </w:rPr>
        <w:t>wraz ze skierowaniem do Oddziału Chorób Płuc</w:t>
      </w:r>
      <w:r w:rsidR="000A02B0">
        <w:rPr>
          <w:rFonts w:asciiTheme="majorHAnsi" w:eastAsia="Times New Roman" w:hAnsiTheme="majorHAnsi" w:cstheme="majorHAnsi"/>
          <w:color w:val="081B32"/>
          <w:spacing w:val="12"/>
          <w:lang w:eastAsia="pl-PL"/>
        </w:rPr>
        <w:t xml:space="preserve"> (kod 4272)</w:t>
      </w:r>
      <w:r w:rsidRPr="007F43E0">
        <w:rPr>
          <w:rFonts w:asciiTheme="majorHAnsi" w:eastAsia="Times New Roman" w:hAnsiTheme="majorHAnsi" w:cstheme="majorHAnsi"/>
          <w:color w:val="081B32"/>
          <w:spacing w:val="12"/>
          <w:lang w:eastAsia="pl-PL"/>
        </w:rPr>
        <w:t>.</w:t>
      </w:r>
    </w:p>
    <w:p w:rsidR="008B3805" w:rsidRPr="0047552D" w:rsidRDefault="008B3805" w:rsidP="00986D51">
      <w:pPr>
        <w:spacing w:line="240" w:lineRule="auto"/>
        <w:jc w:val="left"/>
        <w:textAlignment w:val="baseline"/>
        <w:rPr>
          <w:rFonts w:asciiTheme="majorHAnsi" w:eastAsia="Times New Roman" w:hAnsiTheme="majorHAnsi" w:cstheme="majorHAnsi"/>
          <w:color w:val="081B32"/>
          <w:spacing w:val="12"/>
          <w:lang w:eastAsia="pl-PL"/>
        </w:rPr>
      </w:pPr>
      <w:r w:rsidRPr="00986D51">
        <w:rPr>
          <w:rFonts w:asciiTheme="majorHAnsi" w:eastAsia="Times New Roman" w:hAnsiTheme="majorHAnsi" w:cstheme="majorHAnsi"/>
          <w:color w:val="081B32"/>
          <w:spacing w:val="12"/>
          <w:highlight w:val="yellow"/>
          <w:lang w:eastAsia="pl-PL"/>
        </w:rPr>
        <w:t xml:space="preserve">e-mail: </w:t>
      </w:r>
      <w:hyperlink r:id="rId6" w:history="1">
        <w:r w:rsidR="000A02B0" w:rsidRPr="00986D51">
          <w:rPr>
            <w:rStyle w:val="Hipercze"/>
            <w:rFonts w:asciiTheme="majorHAnsi" w:eastAsia="Times New Roman" w:hAnsiTheme="majorHAnsi" w:cstheme="majorHAnsi"/>
            <w:spacing w:val="12"/>
            <w:lang w:eastAsia="pl-PL"/>
          </w:rPr>
          <w:t>transplantacjapluc@wcpit.org</w:t>
        </w:r>
      </w:hyperlink>
    </w:p>
    <w:p w:rsidR="000A02B0" w:rsidRDefault="000A02B0" w:rsidP="00986D51">
      <w:pPr>
        <w:spacing w:line="240" w:lineRule="auto"/>
        <w:jc w:val="left"/>
        <w:textAlignment w:val="baseline"/>
        <w:rPr>
          <w:rFonts w:asciiTheme="majorHAnsi" w:eastAsia="Times New Roman" w:hAnsiTheme="majorHAnsi" w:cstheme="majorHAnsi"/>
          <w:color w:val="081B32"/>
          <w:spacing w:val="12"/>
          <w:lang w:eastAsia="pl-PL"/>
        </w:rPr>
      </w:pPr>
      <w:r>
        <w:rPr>
          <w:rFonts w:asciiTheme="majorHAnsi" w:eastAsia="Times New Roman" w:hAnsiTheme="majorHAnsi" w:cstheme="majorHAnsi"/>
          <w:color w:val="081B32"/>
          <w:spacing w:val="12"/>
          <w:lang w:eastAsia="pl-PL"/>
        </w:rPr>
        <w:t>Jesteśmy jednym z niewielu ośrodków tran</w:t>
      </w:r>
      <w:r w:rsidR="00986D51">
        <w:rPr>
          <w:rFonts w:asciiTheme="majorHAnsi" w:eastAsia="Times New Roman" w:hAnsiTheme="majorHAnsi" w:cstheme="majorHAnsi"/>
          <w:color w:val="081B32"/>
          <w:spacing w:val="12"/>
          <w:lang w:eastAsia="pl-PL"/>
        </w:rPr>
        <w:t>splantacji płuc w Polsce, który</w:t>
      </w:r>
      <w:r>
        <w:rPr>
          <w:rFonts w:asciiTheme="majorHAnsi" w:eastAsia="Times New Roman" w:hAnsiTheme="majorHAnsi" w:cstheme="majorHAnsi"/>
          <w:color w:val="081B32"/>
          <w:spacing w:val="12"/>
          <w:lang w:eastAsia="pl-PL"/>
        </w:rPr>
        <w:t xml:space="preserve"> ma możliwość kompleksowego przygotowania pacjenta do przeszczepu</w:t>
      </w:r>
      <w:r w:rsidR="002C0B76">
        <w:rPr>
          <w:rFonts w:asciiTheme="majorHAnsi" w:eastAsia="Times New Roman" w:hAnsiTheme="majorHAnsi" w:cstheme="majorHAnsi"/>
          <w:color w:val="081B32"/>
          <w:spacing w:val="12"/>
          <w:lang w:eastAsia="pl-PL"/>
        </w:rPr>
        <w:t>. W ramach pobytu Pacjenta w naszym Ośrodku wykonujemy większość</w:t>
      </w:r>
      <w:r>
        <w:rPr>
          <w:rFonts w:asciiTheme="majorHAnsi" w:eastAsia="Times New Roman" w:hAnsiTheme="majorHAnsi" w:cstheme="majorHAnsi"/>
          <w:color w:val="081B32"/>
          <w:spacing w:val="12"/>
          <w:lang w:eastAsia="pl-PL"/>
        </w:rPr>
        <w:t xml:space="preserve"> badań wymaganych podczas kwalifikacji. Dlatego też podczas zgłoszenia pacjenta do kwalifikacji prosimy o informację, które z dodatkowych badań Pacjent miał do tej pory wykonane. Pozwoli nam to lepiej zaplanować hospitalizację w naszym Ośrodku (lista badań wymieniona w karcie zgłoszeniowej).</w:t>
      </w:r>
    </w:p>
    <w:p w:rsidR="000A02B0" w:rsidRDefault="002856ED" w:rsidP="00986D51">
      <w:pPr>
        <w:spacing w:line="240" w:lineRule="auto"/>
        <w:jc w:val="left"/>
        <w:textAlignment w:val="baseline"/>
        <w:rPr>
          <w:rFonts w:asciiTheme="majorHAnsi" w:eastAsia="Times New Roman" w:hAnsiTheme="majorHAnsi" w:cstheme="majorHAnsi"/>
          <w:color w:val="081B32"/>
          <w:spacing w:val="12"/>
          <w:lang w:eastAsia="pl-PL"/>
        </w:rPr>
      </w:pPr>
      <w:r>
        <w:rPr>
          <w:rFonts w:asciiTheme="majorHAnsi" w:eastAsia="Times New Roman" w:hAnsiTheme="majorHAnsi" w:cstheme="majorHAnsi"/>
          <w:color w:val="081B32"/>
          <w:spacing w:val="12"/>
          <w:lang w:eastAsia="pl-PL"/>
        </w:rPr>
        <w:t xml:space="preserve">Przestrzegając zaleceń Międzynarodowego Towarzystwa Transplantacji Serca i Płuc prezentujemy przeciwwskazania i wskazania do kwalifikacji do transplantacji płuc. W przypadku jakichkolwiek pytań i wątpliwości prosimy o kontakt </w:t>
      </w:r>
    </w:p>
    <w:p w:rsidR="002856ED" w:rsidRDefault="002856ED" w:rsidP="00986D51">
      <w:pPr>
        <w:spacing w:line="240" w:lineRule="auto"/>
        <w:jc w:val="left"/>
        <w:textAlignment w:val="baseline"/>
        <w:rPr>
          <w:rFonts w:asciiTheme="majorHAnsi" w:eastAsia="Times New Roman" w:hAnsiTheme="majorHAnsi" w:cstheme="majorHAnsi"/>
          <w:spacing w:val="12"/>
          <w:lang w:eastAsia="pl-PL"/>
        </w:rPr>
      </w:pPr>
      <w:r w:rsidRPr="00986D51">
        <w:rPr>
          <w:rFonts w:asciiTheme="majorHAnsi" w:eastAsia="Times New Roman" w:hAnsiTheme="majorHAnsi" w:cstheme="majorHAnsi"/>
          <w:color w:val="081B32"/>
          <w:spacing w:val="12"/>
          <w:highlight w:val="yellow"/>
          <w:lang w:eastAsia="pl-PL"/>
        </w:rPr>
        <w:t xml:space="preserve">e-mail: </w:t>
      </w:r>
      <w:hyperlink r:id="rId7" w:history="1">
        <w:r w:rsidRPr="00986D51">
          <w:rPr>
            <w:rStyle w:val="Hipercze"/>
            <w:rFonts w:asciiTheme="majorHAnsi" w:eastAsia="Times New Roman" w:hAnsiTheme="majorHAnsi" w:cstheme="majorHAnsi"/>
            <w:spacing w:val="12"/>
            <w:lang w:eastAsia="pl-PL"/>
          </w:rPr>
          <w:t>transplantacjapluc@wcpit.org</w:t>
        </w:r>
      </w:hyperlink>
    </w:p>
    <w:p w:rsidR="002856ED" w:rsidRDefault="002856ED" w:rsidP="00986D51">
      <w:pPr>
        <w:spacing w:line="240" w:lineRule="auto"/>
        <w:jc w:val="left"/>
        <w:textAlignment w:val="baseline"/>
        <w:rPr>
          <w:rFonts w:asciiTheme="majorHAnsi" w:eastAsia="Times New Roman" w:hAnsiTheme="majorHAnsi" w:cstheme="majorHAnsi"/>
          <w:spacing w:val="12"/>
          <w:lang w:eastAsia="pl-PL"/>
        </w:rPr>
      </w:pPr>
      <w:r>
        <w:rPr>
          <w:rFonts w:asciiTheme="majorHAnsi" w:eastAsia="Times New Roman" w:hAnsiTheme="majorHAnsi" w:cstheme="majorHAnsi"/>
          <w:spacing w:val="12"/>
          <w:lang w:eastAsia="pl-PL"/>
        </w:rPr>
        <w:t>lub po</w:t>
      </w:r>
      <w:r w:rsidR="00986D51">
        <w:rPr>
          <w:rFonts w:asciiTheme="majorHAnsi" w:eastAsia="Times New Roman" w:hAnsiTheme="majorHAnsi" w:cstheme="majorHAnsi"/>
          <w:spacing w:val="12"/>
          <w:lang w:eastAsia="pl-PL"/>
        </w:rPr>
        <w:t>d</w:t>
      </w:r>
      <w:r>
        <w:rPr>
          <w:rFonts w:asciiTheme="majorHAnsi" w:eastAsia="Times New Roman" w:hAnsiTheme="majorHAnsi" w:cstheme="majorHAnsi"/>
          <w:spacing w:val="12"/>
          <w:lang w:eastAsia="pl-PL"/>
        </w:rPr>
        <w:t xml:space="preserve"> numerem telefonu</w:t>
      </w:r>
    </w:p>
    <w:p w:rsidR="002856ED" w:rsidRPr="0047552D" w:rsidRDefault="002856ED" w:rsidP="00986D51">
      <w:pPr>
        <w:spacing w:line="240" w:lineRule="auto"/>
        <w:jc w:val="left"/>
        <w:textAlignment w:val="baseline"/>
        <w:rPr>
          <w:rFonts w:asciiTheme="majorHAnsi" w:eastAsia="Times New Roman" w:hAnsiTheme="majorHAnsi" w:cstheme="majorHAnsi"/>
          <w:color w:val="081B32"/>
          <w:spacing w:val="12"/>
          <w:lang w:eastAsia="pl-PL"/>
        </w:rPr>
      </w:pPr>
      <w:r>
        <w:rPr>
          <w:rFonts w:asciiTheme="majorHAnsi" w:eastAsia="Times New Roman" w:hAnsiTheme="majorHAnsi" w:cstheme="majorHAnsi"/>
          <w:color w:val="081B32"/>
          <w:spacing w:val="12"/>
          <w:lang w:eastAsia="pl-PL"/>
        </w:rPr>
        <w:t>+48 732-431-246 dostępny w godzinach 7:30 – 15:30</w:t>
      </w:r>
    </w:p>
    <w:p w:rsidR="002856ED" w:rsidRPr="007F43E0" w:rsidRDefault="002856ED" w:rsidP="00986D51">
      <w:pPr>
        <w:spacing w:line="240" w:lineRule="auto"/>
        <w:jc w:val="left"/>
        <w:textAlignment w:val="baseline"/>
        <w:rPr>
          <w:rFonts w:asciiTheme="majorHAnsi" w:eastAsia="Times New Roman" w:hAnsiTheme="majorHAnsi" w:cstheme="majorHAnsi"/>
          <w:color w:val="081B32"/>
          <w:spacing w:val="12"/>
          <w:lang w:eastAsia="pl-PL"/>
        </w:rPr>
      </w:pPr>
    </w:p>
    <w:p w:rsidR="001337D9" w:rsidRPr="008B3805" w:rsidRDefault="001337D9" w:rsidP="00986D51">
      <w:pPr>
        <w:spacing w:line="240" w:lineRule="auto"/>
        <w:jc w:val="left"/>
        <w:textAlignment w:val="baseline"/>
        <w:rPr>
          <w:rFonts w:asciiTheme="majorHAnsi" w:eastAsia="Times New Roman" w:hAnsiTheme="majorHAnsi" w:cstheme="majorHAnsi"/>
          <w:color w:val="081B32"/>
          <w:spacing w:val="12"/>
          <w:lang w:eastAsia="pl-PL"/>
        </w:rPr>
      </w:pPr>
      <w:r w:rsidRPr="001337D9">
        <w:rPr>
          <w:rFonts w:asciiTheme="majorHAnsi" w:eastAsia="Times New Roman" w:hAnsiTheme="majorHAnsi" w:cstheme="majorHAnsi"/>
          <w:b/>
          <w:bCs/>
          <w:color w:val="081B32"/>
          <w:spacing w:val="12"/>
          <w:bdr w:val="none" w:sz="0" w:space="0" w:color="auto" w:frame="1"/>
          <w:lang w:eastAsia="pl-PL"/>
        </w:rPr>
        <w:t>Przeciwwskazania do przeszczepu płuc</w:t>
      </w:r>
      <w:r w:rsidR="0047552D">
        <w:rPr>
          <w:rFonts w:asciiTheme="majorHAnsi" w:eastAsia="Times New Roman" w:hAnsiTheme="majorHAnsi" w:cstheme="majorHAnsi"/>
          <w:color w:val="081B32"/>
          <w:spacing w:val="12"/>
          <w:lang w:eastAsia="pl-PL"/>
        </w:rPr>
        <w:t>:</w:t>
      </w:r>
      <w:r w:rsidR="00B4771E">
        <w:rPr>
          <w:rFonts w:asciiTheme="majorHAnsi" w:eastAsia="Times New Roman" w:hAnsiTheme="majorHAnsi" w:cstheme="majorHAnsi"/>
          <w:color w:val="081B32"/>
          <w:spacing w:val="12"/>
          <w:lang w:eastAsia="pl-PL"/>
        </w:rPr>
        <w:t>*</w:t>
      </w:r>
    </w:p>
    <w:p w:rsidR="008B3805" w:rsidRPr="008B3805" w:rsidRDefault="008B3805" w:rsidP="00986D51">
      <w:pPr>
        <w:spacing w:line="240" w:lineRule="auto"/>
        <w:jc w:val="left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</w:rPr>
        <w:t xml:space="preserve">1. </w:t>
      </w:r>
      <w:r w:rsidRPr="008B3805">
        <w:rPr>
          <w:rFonts w:asciiTheme="majorHAnsi" w:hAnsiTheme="majorHAnsi" w:cstheme="majorHAnsi"/>
        </w:rPr>
        <w:t>Brak chęci lub zgody pacjenta na przeszczepienie.</w:t>
      </w:r>
    </w:p>
    <w:p w:rsidR="008B3805" w:rsidRPr="008B3805" w:rsidRDefault="008B3805" w:rsidP="00986D51">
      <w:pPr>
        <w:spacing w:line="240" w:lineRule="auto"/>
        <w:jc w:val="left"/>
        <w:rPr>
          <w:rFonts w:asciiTheme="majorHAnsi" w:hAnsiTheme="majorHAnsi" w:cstheme="majorHAnsi"/>
          <w:b/>
          <w:bCs/>
        </w:rPr>
      </w:pPr>
      <w:r w:rsidRPr="008B3805">
        <w:rPr>
          <w:rFonts w:asciiTheme="majorHAnsi" w:hAnsiTheme="majorHAnsi" w:cstheme="majorHAnsi"/>
        </w:rPr>
        <w:t>2. Nowotwór o wysokim ryzyku nawrotu lub zgonu.</w:t>
      </w:r>
    </w:p>
    <w:p w:rsidR="008B3805" w:rsidRPr="008B3805" w:rsidRDefault="008B3805" w:rsidP="00986D51">
      <w:pPr>
        <w:spacing w:line="240" w:lineRule="auto"/>
        <w:jc w:val="left"/>
        <w:rPr>
          <w:rFonts w:asciiTheme="majorHAnsi" w:hAnsiTheme="majorHAnsi" w:cstheme="majorHAnsi"/>
          <w:b/>
          <w:bCs/>
        </w:rPr>
      </w:pPr>
      <w:r w:rsidRPr="008B3805">
        <w:rPr>
          <w:rFonts w:asciiTheme="majorHAnsi" w:hAnsiTheme="majorHAnsi" w:cstheme="majorHAnsi"/>
        </w:rPr>
        <w:t>3. Wskaźnik eGFR &lt;40ml/min/1,73m2.</w:t>
      </w:r>
    </w:p>
    <w:p w:rsidR="008B3805" w:rsidRPr="008B3805" w:rsidRDefault="008B3805" w:rsidP="00986D51">
      <w:pPr>
        <w:spacing w:line="240" w:lineRule="auto"/>
        <w:jc w:val="left"/>
        <w:rPr>
          <w:rFonts w:asciiTheme="majorHAnsi" w:hAnsiTheme="majorHAnsi" w:cstheme="majorHAnsi"/>
          <w:b/>
          <w:bCs/>
        </w:rPr>
      </w:pPr>
      <w:r w:rsidRPr="008B3805">
        <w:rPr>
          <w:rFonts w:asciiTheme="majorHAnsi" w:hAnsiTheme="majorHAnsi" w:cstheme="majorHAnsi"/>
        </w:rPr>
        <w:t>4. Ostry zespół wieńcowy lub zawał mięśnia sercowego w ciągu ostatnich 30 dni.</w:t>
      </w:r>
    </w:p>
    <w:p w:rsidR="008B3805" w:rsidRPr="008B3805" w:rsidRDefault="008B3805" w:rsidP="00986D51">
      <w:pPr>
        <w:spacing w:line="240" w:lineRule="auto"/>
        <w:jc w:val="left"/>
        <w:rPr>
          <w:rFonts w:asciiTheme="majorHAnsi" w:hAnsiTheme="majorHAnsi" w:cstheme="majorHAnsi"/>
          <w:b/>
          <w:bCs/>
        </w:rPr>
      </w:pPr>
      <w:r w:rsidRPr="008B3805">
        <w:rPr>
          <w:rFonts w:asciiTheme="majorHAnsi" w:hAnsiTheme="majorHAnsi" w:cstheme="majorHAnsi"/>
        </w:rPr>
        <w:t xml:space="preserve">5. Udar w ostatnich 4 tygodniach. </w:t>
      </w:r>
    </w:p>
    <w:p w:rsidR="008B3805" w:rsidRPr="008B3805" w:rsidRDefault="008B3805" w:rsidP="00986D51">
      <w:pPr>
        <w:spacing w:line="240" w:lineRule="auto"/>
        <w:jc w:val="left"/>
        <w:rPr>
          <w:rFonts w:asciiTheme="majorHAnsi" w:hAnsiTheme="majorHAnsi" w:cstheme="majorHAnsi"/>
          <w:b/>
          <w:bCs/>
        </w:rPr>
      </w:pPr>
      <w:r w:rsidRPr="008B3805">
        <w:rPr>
          <w:rFonts w:asciiTheme="majorHAnsi" w:hAnsiTheme="majorHAnsi" w:cstheme="majorHAnsi"/>
        </w:rPr>
        <w:t>6. Marskość wątroby z nadciśnieniem wrotnym lub z dysfunkcją wydzielniczą.</w:t>
      </w:r>
    </w:p>
    <w:p w:rsidR="008B3805" w:rsidRPr="008B3805" w:rsidRDefault="008B3805" w:rsidP="00986D51">
      <w:pPr>
        <w:spacing w:line="240" w:lineRule="auto"/>
        <w:jc w:val="left"/>
        <w:rPr>
          <w:rFonts w:asciiTheme="majorHAnsi" w:hAnsiTheme="majorHAnsi" w:cstheme="majorHAnsi"/>
          <w:b/>
          <w:bCs/>
        </w:rPr>
      </w:pPr>
      <w:r w:rsidRPr="008B3805">
        <w:rPr>
          <w:rFonts w:asciiTheme="majorHAnsi" w:hAnsiTheme="majorHAnsi" w:cstheme="majorHAnsi"/>
        </w:rPr>
        <w:lastRenderedPageBreak/>
        <w:t>7. Ostra niewydolność wątroby.</w:t>
      </w:r>
    </w:p>
    <w:p w:rsidR="008B3805" w:rsidRPr="008B3805" w:rsidRDefault="008B3805" w:rsidP="00986D51">
      <w:pPr>
        <w:spacing w:line="240" w:lineRule="auto"/>
        <w:jc w:val="left"/>
        <w:rPr>
          <w:rFonts w:asciiTheme="majorHAnsi" w:hAnsiTheme="majorHAnsi" w:cstheme="majorHAnsi"/>
          <w:b/>
          <w:bCs/>
        </w:rPr>
      </w:pPr>
      <w:r w:rsidRPr="008B3805">
        <w:rPr>
          <w:rFonts w:asciiTheme="majorHAnsi" w:hAnsiTheme="majorHAnsi" w:cstheme="majorHAnsi"/>
        </w:rPr>
        <w:t>8. Ostra niewydolność nerek z wzrostem stężenia kreatyniny lub wymagająca dializ z nikłym prawdopodobieństwem poprawy.</w:t>
      </w:r>
    </w:p>
    <w:p w:rsidR="008B3805" w:rsidRPr="008B3805" w:rsidRDefault="008B3805" w:rsidP="00986D51">
      <w:pPr>
        <w:spacing w:line="240" w:lineRule="auto"/>
        <w:jc w:val="left"/>
        <w:rPr>
          <w:rFonts w:asciiTheme="majorHAnsi" w:hAnsiTheme="majorHAnsi" w:cstheme="majorHAnsi"/>
          <w:b/>
          <w:bCs/>
        </w:rPr>
      </w:pPr>
      <w:r w:rsidRPr="008B3805">
        <w:rPr>
          <w:rFonts w:asciiTheme="majorHAnsi" w:hAnsiTheme="majorHAnsi" w:cstheme="majorHAnsi"/>
        </w:rPr>
        <w:t>9. Wstrząs septyczny.</w:t>
      </w:r>
    </w:p>
    <w:p w:rsidR="008B3805" w:rsidRPr="008B3805" w:rsidRDefault="008B3805" w:rsidP="00986D51">
      <w:pPr>
        <w:spacing w:line="240" w:lineRule="auto"/>
        <w:jc w:val="left"/>
        <w:rPr>
          <w:rFonts w:asciiTheme="majorHAnsi" w:hAnsiTheme="majorHAnsi" w:cstheme="majorHAnsi"/>
          <w:b/>
          <w:bCs/>
        </w:rPr>
      </w:pPr>
      <w:r w:rsidRPr="008B3805">
        <w:rPr>
          <w:rFonts w:asciiTheme="majorHAnsi" w:hAnsiTheme="majorHAnsi" w:cstheme="majorHAnsi"/>
        </w:rPr>
        <w:t>10. Aktywne zakażenie pozapłucne lub rozsiane.</w:t>
      </w:r>
    </w:p>
    <w:p w:rsidR="008B3805" w:rsidRPr="008B3805" w:rsidRDefault="008B3805" w:rsidP="00986D51">
      <w:pPr>
        <w:spacing w:line="240" w:lineRule="auto"/>
        <w:jc w:val="left"/>
        <w:rPr>
          <w:rFonts w:asciiTheme="majorHAnsi" w:hAnsiTheme="majorHAnsi" w:cstheme="majorHAnsi"/>
          <w:b/>
          <w:bCs/>
        </w:rPr>
      </w:pPr>
      <w:r w:rsidRPr="008B3805">
        <w:rPr>
          <w:rFonts w:asciiTheme="majorHAnsi" w:hAnsiTheme="majorHAnsi" w:cstheme="majorHAnsi"/>
        </w:rPr>
        <w:t>11. Aktywne zakażenie gruźlicze.</w:t>
      </w:r>
    </w:p>
    <w:p w:rsidR="008B3805" w:rsidRPr="008B3805" w:rsidRDefault="008B3805" w:rsidP="00986D51">
      <w:pPr>
        <w:spacing w:line="240" w:lineRule="auto"/>
        <w:jc w:val="left"/>
        <w:rPr>
          <w:rFonts w:asciiTheme="majorHAnsi" w:hAnsiTheme="majorHAnsi" w:cstheme="majorHAnsi"/>
          <w:b/>
          <w:bCs/>
        </w:rPr>
      </w:pPr>
      <w:r w:rsidRPr="008B3805">
        <w:rPr>
          <w:rFonts w:asciiTheme="majorHAnsi" w:hAnsiTheme="majorHAnsi" w:cstheme="majorHAnsi"/>
        </w:rPr>
        <w:t xml:space="preserve">12. Zakażenie wirusem HIV z wykrywalną wiremią. </w:t>
      </w:r>
    </w:p>
    <w:p w:rsidR="008B3805" w:rsidRPr="008B3805" w:rsidRDefault="008B3805" w:rsidP="00986D51">
      <w:pPr>
        <w:spacing w:line="240" w:lineRule="auto"/>
        <w:jc w:val="left"/>
        <w:rPr>
          <w:rFonts w:asciiTheme="majorHAnsi" w:hAnsiTheme="majorHAnsi" w:cstheme="majorHAnsi"/>
          <w:b/>
          <w:bCs/>
        </w:rPr>
      </w:pPr>
      <w:r w:rsidRPr="008B3805">
        <w:rPr>
          <w:rFonts w:asciiTheme="majorHAnsi" w:hAnsiTheme="majorHAnsi" w:cstheme="majorHAnsi"/>
        </w:rPr>
        <w:t>13. Ograniczony stan funkcjonalny ze słabym potencjałem do rehabilitacji po przeszczepieniu.</w:t>
      </w:r>
    </w:p>
    <w:p w:rsidR="008B3805" w:rsidRPr="008B3805" w:rsidRDefault="008B3805" w:rsidP="00986D51">
      <w:pPr>
        <w:spacing w:line="240" w:lineRule="auto"/>
        <w:jc w:val="left"/>
        <w:rPr>
          <w:rFonts w:asciiTheme="majorHAnsi" w:hAnsiTheme="majorHAnsi" w:cstheme="majorHAnsi"/>
          <w:b/>
          <w:bCs/>
        </w:rPr>
      </w:pPr>
      <w:r w:rsidRPr="008B3805">
        <w:rPr>
          <w:rFonts w:asciiTheme="majorHAnsi" w:hAnsiTheme="majorHAnsi" w:cstheme="majorHAnsi"/>
        </w:rPr>
        <w:t>14. Postępujące zaburzenia poznawcze.</w:t>
      </w:r>
    </w:p>
    <w:p w:rsidR="008B3805" w:rsidRPr="008B3805" w:rsidRDefault="008B3805" w:rsidP="00986D51">
      <w:pPr>
        <w:spacing w:line="240" w:lineRule="auto"/>
        <w:jc w:val="left"/>
        <w:rPr>
          <w:rFonts w:asciiTheme="majorHAnsi" w:hAnsiTheme="majorHAnsi" w:cstheme="majorHAnsi"/>
          <w:b/>
          <w:bCs/>
        </w:rPr>
      </w:pPr>
      <w:r w:rsidRPr="008B3805">
        <w:rPr>
          <w:rFonts w:asciiTheme="majorHAnsi" w:hAnsiTheme="majorHAnsi" w:cstheme="majorHAnsi"/>
        </w:rPr>
        <w:t>15. Powtarzające się epizody niestosowania się do zaleceń bez oznak poprawy.</w:t>
      </w:r>
    </w:p>
    <w:p w:rsidR="008B3805" w:rsidRPr="008B3805" w:rsidRDefault="008B3805" w:rsidP="00986D51">
      <w:pPr>
        <w:spacing w:line="240" w:lineRule="auto"/>
        <w:jc w:val="left"/>
        <w:rPr>
          <w:rFonts w:asciiTheme="majorHAnsi" w:hAnsiTheme="majorHAnsi" w:cstheme="majorHAnsi"/>
          <w:b/>
          <w:bCs/>
        </w:rPr>
      </w:pPr>
      <w:r w:rsidRPr="008B3805">
        <w:rPr>
          <w:rFonts w:asciiTheme="majorHAnsi" w:hAnsiTheme="majorHAnsi" w:cstheme="majorHAnsi"/>
        </w:rPr>
        <w:t>16. Czynne zażywanie lub uzależnienie od nikotyny i innych używek.</w:t>
      </w:r>
    </w:p>
    <w:p w:rsidR="008B3805" w:rsidRPr="008B3805" w:rsidRDefault="008B3805" w:rsidP="00986D51">
      <w:pPr>
        <w:spacing w:before="100" w:beforeAutospacing="1" w:after="100" w:afterAutospacing="1" w:line="240" w:lineRule="auto"/>
        <w:jc w:val="left"/>
        <w:textAlignment w:val="baseline"/>
        <w:rPr>
          <w:rFonts w:asciiTheme="majorHAnsi" w:hAnsiTheme="majorHAnsi" w:cstheme="majorHAnsi"/>
        </w:rPr>
      </w:pPr>
      <w:r w:rsidRPr="008B3805">
        <w:rPr>
          <w:rFonts w:asciiTheme="majorHAnsi" w:hAnsiTheme="majorHAnsi" w:cstheme="majorHAnsi"/>
        </w:rPr>
        <w:t>17. Inny ciężki niekontrolowany stan chorobowy, który może ograniczyć przeżycie po przeszczepie</w:t>
      </w:r>
      <w:r>
        <w:rPr>
          <w:rFonts w:asciiTheme="majorHAnsi" w:hAnsiTheme="majorHAnsi" w:cstheme="majorHAnsi"/>
        </w:rPr>
        <w:t>niu.</w:t>
      </w:r>
    </w:p>
    <w:p w:rsidR="008B3805" w:rsidRPr="008B3805" w:rsidRDefault="008B3805" w:rsidP="00986D51">
      <w:pPr>
        <w:spacing w:before="100" w:beforeAutospacing="1" w:after="100" w:afterAutospacing="1" w:line="240" w:lineRule="auto"/>
        <w:jc w:val="left"/>
        <w:textAlignment w:val="baseline"/>
        <w:rPr>
          <w:rFonts w:asciiTheme="majorHAnsi" w:hAnsiTheme="majorHAnsi" w:cstheme="majorHAnsi"/>
        </w:rPr>
      </w:pPr>
    </w:p>
    <w:tbl>
      <w:tblPr>
        <w:tblStyle w:val="PlainTable2"/>
        <w:tblW w:w="9438" w:type="dxa"/>
        <w:tblLook w:val="04A0"/>
      </w:tblPr>
      <w:tblGrid>
        <w:gridCol w:w="9438"/>
      </w:tblGrid>
      <w:tr w:rsidR="008B3805" w:rsidRPr="008B3805" w:rsidTr="001D3ED0">
        <w:trPr>
          <w:cnfStyle w:val="100000000000"/>
        </w:trPr>
        <w:tc>
          <w:tcPr>
            <w:cnfStyle w:val="001000000000"/>
            <w:tcW w:w="9438" w:type="dxa"/>
          </w:tcPr>
          <w:p w:rsidR="008B3805" w:rsidRPr="008B3805" w:rsidRDefault="008B3805" w:rsidP="00986D51">
            <w:pPr>
              <w:spacing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8B3805">
              <w:rPr>
                <w:rFonts w:asciiTheme="majorHAnsi" w:hAnsiTheme="majorHAnsi" w:cstheme="majorHAnsi"/>
                <w:sz w:val="20"/>
                <w:szCs w:val="20"/>
              </w:rPr>
              <w:t>KRYTERIA SKIEROWANIA DLA POSZCZEGÓLNYCH JEDNOSTEK CHOROBOWYCH</w:t>
            </w:r>
            <w:r w:rsidR="00B4771E">
              <w:rPr>
                <w:rFonts w:asciiTheme="majorHAnsi" w:hAnsiTheme="majorHAnsi" w:cstheme="majorHAnsi"/>
                <w:sz w:val="20"/>
                <w:szCs w:val="20"/>
              </w:rPr>
              <w:t>*</w:t>
            </w:r>
          </w:p>
        </w:tc>
      </w:tr>
      <w:tr w:rsidR="008B3805" w:rsidRPr="008B3805" w:rsidTr="001D3ED0">
        <w:trPr>
          <w:cnfStyle w:val="000000100000"/>
        </w:trPr>
        <w:tc>
          <w:tcPr>
            <w:cnfStyle w:val="001000000000"/>
            <w:tcW w:w="9438" w:type="dxa"/>
          </w:tcPr>
          <w:p w:rsidR="008B3805" w:rsidRPr="008B3805" w:rsidRDefault="008B3805" w:rsidP="00986D51">
            <w:pPr>
              <w:spacing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8B3805">
              <w:rPr>
                <w:rFonts w:asciiTheme="majorHAnsi" w:hAnsiTheme="majorHAnsi" w:cstheme="majorHAnsi"/>
                <w:sz w:val="20"/>
                <w:szCs w:val="20"/>
              </w:rPr>
              <w:t>PRZEWLEKŁA OBTURACYJNA CHOROBA PŁUC (POCHP)</w:t>
            </w:r>
          </w:p>
        </w:tc>
      </w:tr>
      <w:tr w:rsidR="008B3805" w:rsidRPr="008B3805" w:rsidTr="007F43E0">
        <w:trPr>
          <w:trHeight w:val="2479"/>
        </w:trPr>
        <w:tc>
          <w:tcPr>
            <w:cnfStyle w:val="001000000000"/>
            <w:tcW w:w="9438" w:type="dxa"/>
          </w:tcPr>
          <w:p w:rsidR="008B3805" w:rsidRPr="008B3805" w:rsidRDefault="008B3805" w:rsidP="00986D51">
            <w:pPr>
              <w:pStyle w:val="Akapitzlist"/>
              <w:numPr>
                <w:ilvl w:val="0"/>
                <w:numId w:val="7"/>
              </w:numPr>
              <w:spacing w:line="240" w:lineRule="auto"/>
              <w:ind w:left="315"/>
              <w:jc w:val="left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8B3805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Wynik 5-6 w skali BODE z dodatkowym(i) czynnikiem(ami) sugerującym</w:t>
            </w:r>
            <w:r w:rsidR="00A81608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(i)</w:t>
            </w:r>
            <w:r w:rsidRPr="008B3805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zwiększone ryzyko zgonu:</w:t>
            </w:r>
          </w:p>
          <w:p w:rsidR="008B3805" w:rsidRPr="008B3805" w:rsidRDefault="008B3805" w:rsidP="00986D51">
            <w:pPr>
              <w:pStyle w:val="Akapitzlist"/>
              <w:numPr>
                <w:ilvl w:val="0"/>
                <w:numId w:val="8"/>
              </w:numPr>
              <w:spacing w:line="240" w:lineRule="auto"/>
              <w:jc w:val="left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8B3805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częste zaostrzenia,</w:t>
            </w:r>
          </w:p>
          <w:p w:rsidR="008B3805" w:rsidRPr="008B3805" w:rsidRDefault="008B3805" w:rsidP="00986D51">
            <w:pPr>
              <w:pStyle w:val="Akapitzlist"/>
              <w:numPr>
                <w:ilvl w:val="0"/>
                <w:numId w:val="8"/>
              </w:numPr>
              <w:spacing w:line="240" w:lineRule="auto"/>
              <w:jc w:val="left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8B3805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wzrost BODE &gt; 1 w ciągu ostatnich 24 miesięcy,</w:t>
            </w:r>
          </w:p>
          <w:p w:rsidR="008B3805" w:rsidRPr="008B3805" w:rsidRDefault="008B3805" w:rsidP="00986D51">
            <w:pPr>
              <w:pStyle w:val="Akapitzlist"/>
              <w:numPr>
                <w:ilvl w:val="0"/>
                <w:numId w:val="8"/>
              </w:numPr>
              <w:spacing w:line="240" w:lineRule="auto"/>
              <w:jc w:val="left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8B3805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stosunek średnicy tętnicy płucnej do średnicy aorty &gt; 1 w badaniu tomokomputerowym,</w:t>
            </w:r>
          </w:p>
          <w:p w:rsidR="008B3805" w:rsidRPr="008B3805" w:rsidRDefault="008B3805" w:rsidP="00986D51">
            <w:pPr>
              <w:pStyle w:val="Akapitzlist"/>
              <w:numPr>
                <w:ilvl w:val="0"/>
                <w:numId w:val="8"/>
              </w:numPr>
              <w:spacing w:line="240" w:lineRule="auto"/>
              <w:jc w:val="left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8B3805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FEV1 20-25% wn.</w:t>
            </w:r>
          </w:p>
          <w:p w:rsidR="008B3805" w:rsidRPr="008B3805" w:rsidRDefault="008B3805" w:rsidP="00986D51">
            <w:pPr>
              <w:pStyle w:val="Akapitzlist"/>
              <w:numPr>
                <w:ilvl w:val="0"/>
                <w:numId w:val="7"/>
              </w:numPr>
              <w:spacing w:line="240" w:lineRule="auto"/>
              <w:ind w:left="321"/>
              <w:jc w:val="left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8B3805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Pogorszenie stanu klinicznego pomimo maksymalnego leczenia obejmującego farmakoterapię, rehabilitację i tlenoterapię i nocną nieinwazyjną wentylację dodatnim ciśnieniem.</w:t>
            </w:r>
          </w:p>
          <w:p w:rsidR="008B3805" w:rsidRPr="008B3805" w:rsidRDefault="008B3805" w:rsidP="00986D51">
            <w:pPr>
              <w:pStyle w:val="Akapitzlist"/>
              <w:numPr>
                <w:ilvl w:val="0"/>
                <w:numId w:val="7"/>
              </w:numPr>
              <w:spacing w:line="240" w:lineRule="auto"/>
              <w:ind w:left="315"/>
              <w:jc w:val="left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8B3805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Niska jakość życia nie do zaakceptowania przez pacjenta.</w:t>
            </w:r>
          </w:p>
          <w:p w:rsidR="008B3805" w:rsidRPr="008B3805" w:rsidRDefault="008B3805" w:rsidP="00986D51">
            <w:pPr>
              <w:pStyle w:val="Akapitzlist"/>
              <w:numPr>
                <w:ilvl w:val="0"/>
                <w:numId w:val="7"/>
              </w:numPr>
              <w:spacing w:line="240" w:lineRule="auto"/>
              <w:ind w:left="315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8B3805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W przypadku pacjenta, który jest kandydatem do bronchoskopowej lub chirurgicznej redukcji objętości płuc (LVR), właściwe jest jednoczesne skierowanie do przeszczepu płuca i oceny LVR.</w:t>
            </w:r>
          </w:p>
        </w:tc>
      </w:tr>
      <w:tr w:rsidR="008B3805" w:rsidRPr="008B3805" w:rsidTr="008B3805">
        <w:trPr>
          <w:cnfStyle w:val="000000100000"/>
          <w:trHeight w:val="382"/>
        </w:trPr>
        <w:tc>
          <w:tcPr>
            <w:cnfStyle w:val="001000000000"/>
            <w:tcW w:w="9438" w:type="dxa"/>
          </w:tcPr>
          <w:p w:rsidR="008B3805" w:rsidRPr="008B3805" w:rsidRDefault="008B3805" w:rsidP="00986D51">
            <w:pPr>
              <w:spacing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8B3805">
              <w:rPr>
                <w:rFonts w:asciiTheme="majorHAnsi" w:hAnsiTheme="majorHAnsi" w:cstheme="majorHAnsi"/>
                <w:sz w:val="20"/>
                <w:szCs w:val="20"/>
              </w:rPr>
              <w:t>CHOROBY ŚRÓDMIĄŻSZOWE PŁUC (ILD)</w:t>
            </w:r>
          </w:p>
        </w:tc>
      </w:tr>
      <w:tr w:rsidR="008B3805" w:rsidRPr="008B3805" w:rsidTr="001D3ED0">
        <w:trPr>
          <w:trHeight w:val="3884"/>
        </w:trPr>
        <w:tc>
          <w:tcPr>
            <w:cnfStyle w:val="001000000000"/>
            <w:tcW w:w="9438" w:type="dxa"/>
          </w:tcPr>
          <w:p w:rsidR="008B3805" w:rsidRPr="008B3805" w:rsidRDefault="008B3805" w:rsidP="00986D51">
            <w:pPr>
              <w:spacing w:line="240" w:lineRule="auto"/>
              <w:jc w:val="left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8B3805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Skierowanie należy wystawić u pacjentów z rozpoznanym w badaniu histopatologicznym wzorcem UIP lub z radiograficznym pewnym lub prawdopodobnym wzorcem UIP, nawet jeśli leczenie jest dopiero rozpoczynane.</w:t>
            </w:r>
          </w:p>
          <w:p w:rsidR="008B3805" w:rsidRPr="008B3805" w:rsidRDefault="008B3805" w:rsidP="00986D51">
            <w:pPr>
              <w:pStyle w:val="Akapitzlist"/>
              <w:numPr>
                <w:ilvl w:val="0"/>
                <w:numId w:val="11"/>
              </w:numPr>
              <w:spacing w:line="240" w:lineRule="auto"/>
              <w:ind w:left="315"/>
              <w:jc w:val="left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8B3805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Każda postać PF-ILD z FVC &lt;80% lub DLCO &lt; 40%.</w:t>
            </w:r>
          </w:p>
          <w:p w:rsidR="008B3805" w:rsidRPr="008B3805" w:rsidRDefault="008B3805" w:rsidP="00986D51">
            <w:pPr>
              <w:pStyle w:val="Akapitzlist"/>
              <w:numPr>
                <w:ilvl w:val="0"/>
                <w:numId w:val="11"/>
              </w:numPr>
              <w:spacing w:line="240" w:lineRule="auto"/>
              <w:ind w:left="315"/>
              <w:jc w:val="left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8B3805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Każda postać PF-ILD z jednym z następujących w ciągu ostatnich 2 lat:</w:t>
            </w:r>
          </w:p>
          <w:p w:rsidR="008B3805" w:rsidRPr="008B3805" w:rsidRDefault="008B3805" w:rsidP="00986D51">
            <w:pPr>
              <w:spacing w:line="240" w:lineRule="auto"/>
              <w:ind w:left="457"/>
              <w:jc w:val="left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8B3805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○ względny spadek FVC 10% wn.,</w:t>
            </w:r>
          </w:p>
          <w:p w:rsidR="008B3805" w:rsidRPr="008B3805" w:rsidRDefault="008B3805" w:rsidP="00986D51">
            <w:pPr>
              <w:spacing w:line="240" w:lineRule="auto"/>
              <w:ind w:left="457"/>
              <w:jc w:val="left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8B3805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○ względny spadek DLCO 15% wn.,</w:t>
            </w:r>
          </w:p>
          <w:p w:rsidR="008B3805" w:rsidRPr="008B3805" w:rsidRDefault="008B3805" w:rsidP="00986D51">
            <w:pPr>
              <w:spacing w:line="240" w:lineRule="auto"/>
              <w:ind w:left="457"/>
              <w:jc w:val="left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8B3805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○ względny spadek FVC 5% wartości należnej z nasileniem objawów lub progresją radiologiczną.</w:t>
            </w:r>
          </w:p>
          <w:p w:rsidR="008B3805" w:rsidRPr="008B3805" w:rsidRDefault="008B3805" w:rsidP="00986D51">
            <w:pPr>
              <w:pStyle w:val="Akapitzlist"/>
              <w:numPr>
                <w:ilvl w:val="0"/>
                <w:numId w:val="11"/>
              </w:numPr>
              <w:spacing w:line="240" w:lineRule="auto"/>
              <w:ind w:left="315"/>
              <w:jc w:val="left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8B3805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Dodatkowe zapotrzebowanie na tlen w spoczynku lub podczas wysiłku.</w:t>
            </w:r>
          </w:p>
          <w:p w:rsidR="008B3805" w:rsidRPr="008B3805" w:rsidRDefault="008B3805" w:rsidP="00986D51">
            <w:pPr>
              <w:pStyle w:val="Akapitzlist"/>
              <w:numPr>
                <w:ilvl w:val="0"/>
                <w:numId w:val="11"/>
              </w:numPr>
              <w:spacing w:line="240" w:lineRule="auto"/>
              <w:ind w:left="315"/>
              <w:jc w:val="left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8B3805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W przypadku zapalnych postaci PF-ILD, progresja choroby (zarówno radiologiczna jak i pogorszenie czynności płuc) pomimo leczenia.</w:t>
            </w:r>
          </w:p>
          <w:p w:rsidR="008B3805" w:rsidRPr="008B3805" w:rsidRDefault="008B3805" w:rsidP="00986D51">
            <w:pPr>
              <w:pStyle w:val="Akapitzlist"/>
              <w:numPr>
                <w:ilvl w:val="0"/>
                <w:numId w:val="11"/>
              </w:numPr>
              <w:spacing w:line="240" w:lineRule="auto"/>
              <w:ind w:left="315"/>
              <w:jc w:val="left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8B3805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W przypadku pacjentów z chorobą tkanki łącznej lub rodzinnym zwłóknieniem płuc zaleca się wczesne </w:t>
            </w:r>
            <w:r w:rsidRPr="008B3805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lastRenderedPageBreak/>
              <w:t>skierowanie, ponieważ objawy pozapłucne mogą wymagać szczególnej uwagi.</w:t>
            </w:r>
          </w:p>
        </w:tc>
      </w:tr>
      <w:tr w:rsidR="008B3805" w:rsidRPr="008B3805" w:rsidTr="001D3ED0">
        <w:trPr>
          <w:cnfStyle w:val="000000100000"/>
        </w:trPr>
        <w:tc>
          <w:tcPr>
            <w:cnfStyle w:val="001000000000"/>
            <w:tcW w:w="9438" w:type="dxa"/>
          </w:tcPr>
          <w:p w:rsidR="008B3805" w:rsidRPr="008B3805" w:rsidRDefault="008B3805" w:rsidP="00986D51">
            <w:pPr>
              <w:spacing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8B3805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MUKOWISCYDOZA (CF)</w:t>
            </w:r>
          </w:p>
        </w:tc>
      </w:tr>
      <w:tr w:rsidR="008B3805" w:rsidRPr="008B3805" w:rsidTr="001D3ED0">
        <w:trPr>
          <w:trHeight w:val="699"/>
        </w:trPr>
        <w:tc>
          <w:tcPr>
            <w:cnfStyle w:val="001000000000"/>
            <w:tcW w:w="9438" w:type="dxa"/>
          </w:tcPr>
          <w:p w:rsidR="008B3805" w:rsidRPr="008B3805" w:rsidRDefault="008B3805" w:rsidP="00986D51">
            <w:pPr>
              <w:spacing w:line="240" w:lineRule="auto"/>
              <w:jc w:val="left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8B3805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Spełnienie któregokolwiek z poniższych kryteriów (pomimo optymalnego postępowania medycznego, w tym próby leczenia modulatorami):</w:t>
            </w:r>
          </w:p>
          <w:p w:rsidR="008B3805" w:rsidRPr="008B3805" w:rsidRDefault="008B3805" w:rsidP="00986D51">
            <w:pPr>
              <w:pStyle w:val="Akapitzlist"/>
              <w:numPr>
                <w:ilvl w:val="0"/>
                <w:numId w:val="14"/>
              </w:numPr>
              <w:spacing w:line="240" w:lineRule="auto"/>
              <w:ind w:left="315"/>
              <w:jc w:val="left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8B3805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FEV1 &lt; 30%wn. u dorosłych (lub &lt; 40% u dzieci).</w:t>
            </w:r>
          </w:p>
          <w:p w:rsidR="008B3805" w:rsidRPr="008B3805" w:rsidRDefault="008B3805" w:rsidP="00986D51">
            <w:pPr>
              <w:pStyle w:val="Akapitzlist"/>
              <w:numPr>
                <w:ilvl w:val="0"/>
                <w:numId w:val="14"/>
              </w:numPr>
              <w:spacing w:line="240" w:lineRule="auto"/>
              <w:ind w:left="315"/>
              <w:jc w:val="left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8B3805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FEV1 &lt; 40%wn. u dorosłych (lub &lt; 50% u dzieci) oraz którekolwiek z poniższych:</w:t>
            </w:r>
          </w:p>
          <w:p w:rsidR="008B3805" w:rsidRPr="008B3805" w:rsidRDefault="008B3805" w:rsidP="00986D51">
            <w:pPr>
              <w:pStyle w:val="Akapitzlist"/>
              <w:numPr>
                <w:ilvl w:val="0"/>
                <w:numId w:val="15"/>
              </w:numPr>
              <w:spacing w:line="240" w:lineRule="auto"/>
              <w:jc w:val="left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8B3805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dystans &lt;400 metrów w 6MWT,</w:t>
            </w:r>
          </w:p>
          <w:p w:rsidR="008B3805" w:rsidRPr="008B3805" w:rsidRDefault="008B3805" w:rsidP="00986D51">
            <w:pPr>
              <w:pStyle w:val="Akapitzlist"/>
              <w:numPr>
                <w:ilvl w:val="0"/>
                <w:numId w:val="15"/>
              </w:numPr>
              <w:spacing w:line="240" w:lineRule="auto"/>
              <w:jc w:val="left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8B3805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PaCO2 &gt; 50 mmHg,</w:t>
            </w:r>
          </w:p>
          <w:p w:rsidR="008B3805" w:rsidRPr="008B3805" w:rsidRDefault="008B3805" w:rsidP="00986D51">
            <w:pPr>
              <w:pStyle w:val="Akapitzlist"/>
              <w:numPr>
                <w:ilvl w:val="0"/>
                <w:numId w:val="15"/>
              </w:numPr>
              <w:spacing w:line="240" w:lineRule="auto"/>
              <w:jc w:val="left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8B3805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hipoksemia w spoczynku lub podczas wysiłku,</w:t>
            </w:r>
          </w:p>
          <w:p w:rsidR="008B3805" w:rsidRPr="008B3805" w:rsidRDefault="008B3805" w:rsidP="00986D51">
            <w:pPr>
              <w:pStyle w:val="Akapitzlist"/>
              <w:numPr>
                <w:ilvl w:val="0"/>
                <w:numId w:val="15"/>
              </w:numPr>
              <w:spacing w:line="240" w:lineRule="auto"/>
              <w:jc w:val="left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8B3805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nadciśnienie płucne,</w:t>
            </w:r>
          </w:p>
          <w:p w:rsidR="008B3805" w:rsidRPr="008B3805" w:rsidRDefault="008B3805" w:rsidP="00986D51">
            <w:pPr>
              <w:pStyle w:val="Akapitzlist"/>
              <w:numPr>
                <w:ilvl w:val="0"/>
                <w:numId w:val="15"/>
              </w:numPr>
              <w:spacing w:line="240" w:lineRule="auto"/>
              <w:jc w:val="left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8B3805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pogorszenie stanu odżywienia pomimo suplementacji,</w:t>
            </w:r>
          </w:p>
          <w:p w:rsidR="008B3805" w:rsidRPr="008B3805" w:rsidRDefault="008B3805" w:rsidP="00986D51">
            <w:pPr>
              <w:pStyle w:val="Akapitzlist"/>
              <w:numPr>
                <w:ilvl w:val="0"/>
                <w:numId w:val="15"/>
              </w:numPr>
              <w:spacing w:line="240" w:lineRule="auto"/>
              <w:jc w:val="left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8B3805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2 zaostrzenia na rok wymagające dożylnych antybiotyków,</w:t>
            </w:r>
          </w:p>
          <w:p w:rsidR="008B3805" w:rsidRPr="008B3805" w:rsidRDefault="008B3805" w:rsidP="00986D51">
            <w:pPr>
              <w:pStyle w:val="Akapitzlist"/>
              <w:numPr>
                <w:ilvl w:val="0"/>
                <w:numId w:val="15"/>
              </w:numPr>
              <w:spacing w:line="240" w:lineRule="auto"/>
              <w:jc w:val="left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8B3805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masywne krwioplucie (&gt;240 ml) wymagające embolizacji tętnicy oskrzelowej,</w:t>
            </w:r>
          </w:p>
          <w:p w:rsidR="008B3805" w:rsidRPr="008B3805" w:rsidRDefault="008B3805" w:rsidP="00986D51">
            <w:pPr>
              <w:pStyle w:val="Akapitzlist"/>
              <w:numPr>
                <w:ilvl w:val="0"/>
                <w:numId w:val="15"/>
              </w:numPr>
              <w:spacing w:line="240" w:lineRule="auto"/>
              <w:jc w:val="left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8B3805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odma opłucnowa.</w:t>
            </w:r>
          </w:p>
          <w:p w:rsidR="008B3805" w:rsidRPr="008B3805" w:rsidRDefault="008B3805" w:rsidP="00986D51">
            <w:pPr>
              <w:pStyle w:val="Akapitzlist"/>
              <w:numPr>
                <w:ilvl w:val="0"/>
                <w:numId w:val="14"/>
              </w:numPr>
              <w:spacing w:line="240" w:lineRule="auto"/>
              <w:ind w:left="315"/>
              <w:jc w:val="left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8B3805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FEV1 &lt;50% z zauważanym szybkim spadkiem wydolności płuc lub nasilonym postępem objawów.</w:t>
            </w:r>
          </w:p>
          <w:p w:rsidR="008B3805" w:rsidRPr="008B3805" w:rsidRDefault="008B3805" w:rsidP="00986D51">
            <w:pPr>
              <w:pStyle w:val="Akapitzlist"/>
              <w:numPr>
                <w:ilvl w:val="0"/>
                <w:numId w:val="14"/>
              </w:numPr>
              <w:spacing w:line="240" w:lineRule="auto"/>
              <w:ind w:left="315"/>
              <w:jc w:val="left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8B3805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Każde zaostrzenie wymagające wentylacji z dodatnim ciśnieniem.</w:t>
            </w:r>
          </w:p>
        </w:tc>
      </w:tr>
      <w:tr w:rsidR="008B3805" w:rsidRPr="008B3805" w:rsidTr="001D3ED0">
        <w:trPr>
          <w:cnfStyle w:val="000000100000"/>
        </w:trPr>
        <w:tc>
          <w:tcPr>
            <w:cnfStyle w:val="001000000000"/>
            <w:tcW w:w="9438" w:type="dxa"/>
          </w:tcPr>
          <w:p w:rsidR="008B3805" w:rsidRPr="008B3805" w:rsidRDefault="008B3805" w:rsidP="00986D51">
            <w:pPr>
              <w:spacing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8B3805">
              <w:rPr>
                <w:rFonts w:asciiTheme="majorHAnsi" w:hAnsiTheme="majorHAnsi" w:cstheme="majorHAnsi"/>
                <w:sz w:val="20"/>
                <w:szCs w:val="20"/>
              </w:rPr>
              <w:t>TĘTNICZE NADCIŚNIENIE PŁUCNE (PAH)</w:t>
            </w:r>
          </w:p>
        </w:tc>
      </w:tr>
      <w:tr w:rsidR="008B3805" w:rsidRPr="008B3805" w:rsidTr="001D3ED0">
        <w:trPr>
          <w:trHeight w:val="1266"/>
        </w:trPr>
        <w:tc>
          <w:tcPr>
            <w:cnfStyle w:val="001000000000"/>
            <w:tcW w:w="9438" w:type="dxa"/>
          </w:tcPr>
          <w:p w:rsidR="008B3805" w:rsidRPr="008B3805" w:rsidRDefault="008B3805" w:rsidP="00986D51">
            <w:pPr>
              <w:pStyle w:val="Akapitzlist"/>
              <w:numPr>
                <w:ilvl w:val="0"/>
                <w:numId w:val="17"/>
              </w:numPr>
              <w:spacing w:line="240" w:lineRule="auto"/>
              <w:ind w:left="315"/>
              <w:jc w:val="left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8B3805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umiarkowane lub duże ryzyko według kryteriów ESC/ERS lub wynik REVEAL≥8 pomimo odpowiedniego leczenia farmakologicznego.</w:t>
            </w:r>
          </w:p>
          <w:p w:rsidR="008B3805" w:rsidRPr="008B3805" w:rsidRDefault="008B3805" w:rsidP="00986D51">
            <w:pPr>
              <w:pStyle w:val="Akapitzlist"/>
              <w:numPr>
                <w:ilvl w:val="0"/>
                <w:numId w:val="17"/>
              </w:numPr>
              <w:spacing w:line="240" w:lineRule="auto"/>
              <w:ind w:left="315"/>
              <w:jc w:val="left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8B3805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Istotna dysfunkcja RV pomimo odpowiedniej terapii.</w:t>
            </w:r>
          </w:p>
          <w:p w:rsidR="008B3805" w:rsidRPr="008B3805" w:rsidRDefault="008B3805" w:rsidP="00986D51">
            <w:pPr>
              <w:pStyle w:val="Akapitzlist"/>
              <w:numPr>
                <w:ilvl w:val="0"/>
                <w:numId w:val="17"/>
              </w:numPr>
              <w:spacing w:line="240" w:lineRule="auto"/>
              <w:ind w:left="315"/>
              <w:jc w:val="left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8B3805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Konieczność leczenia prostacykliną dożylną lub podskórną.</w:t>
            </w:r>
          </w:p>
          <w:p w:rsidR="008B3805" w:rsidRPr="008B3805" w:rsidRDefault="008B3805" w:rsidP="00986D51">
            <w:pPr>
              <w:pStyle w:val="Akapitzlist"/>
              <w:numPr>
                <w:ilvl w:val="0"/>
                <w:numId w:val="17"/>
              </w:numPr>
              <w:spacing w:line="240" w:lineRule="auto"/>
              <w:ind w:left="315"/>
              <w:jc w:val="left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8B3805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Choroba postępująca pomimo odpowiedniego leczenia lub niedawne hospitalizacje z powodu pogorszenia.</w:t>
            </w:r>
          </w:p>
          <w:p w:rsidR="008B3805" w:rsidRPr="008B3805" w:rsidRDefault="008B3805" w:rsidP="00986D51">
            <w:pPr>
              <w:pStyle w:val="Akapitzlist"/>
              <w:numPr>
                <w:ilvl w:val="0"/>
                <w:numId w:val="17"/>
              </w:numPr>
              <w:spacing w:line="240" w:lineRule="auto"/>
              <w:ind w:left="315"/>
              <w:jc w:val="left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8B3805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Znane lub podejrzewane warianty wysokiego ryzyka, takie jak PVOD/PCH, twardzina układowa, duże i postępujące tętniaki tętnicy płucnej.</w:t>
            </w:r>
          </w:p>
          <w:p w:rsidR="008B3805" w:rsidRPr="008B3805" w:rsidRDefault="008B3805" w:rsidP="00986D51">
            <w:pPr>
              <w:pStyle w:val="Akapitzlist"/>
              <w:numPr>
                <w:ilvl w:val="0"/>
                <w:numId w:val="17"/>
              </w:numPr>
              <w:spacing w:line="240" w:lineRule="auto"/>
              <w:ind w:left="315"/>
              <w:jc w:val="left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8B3805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Objawy wtórnej dysfunkcji wątroby lub nerek.</w:t>
            </w:r>
          </w:p>
          <w:p w:rsidR="008B3805" w:rsidRPr="008B3805" w:rsidRDefault="008B3805" w:rsidP="00986D51">
            <w:pPr>
              <w:pStyle w:val="Akapitzlist"/>
              <w:numPr>
                <w:ilvl w:val="0"/>
                <w:numId w:val="17"/>
              </w:numPr>
              <w:spacing w:line="240" w:lineRule="auto"/>
              <w:ind w:left="315"/>
              <w:jc w:val="left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8B3805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Potencjalnie zagrażające życiu powikłania, takie jak nawracające krwioplucie.</w:t>
            </w:r>
          </w:p>
        </w:tc>
      </w:tr>
    </w:tbl>
    <w:p w:rsidR="008B3805" w:rsidRDefault="008B3805" w:rsidP="00986D51">
      <w:pPr>
        <w:spacing w:before="100" w:beforeAutospacing="1" w:after="100" w:afterAutospacing="1" w:line="240" w:lineRule="auto"/>
        <w:jc w:val="left"/>
        <w:textAlignment w:val="baseline"/>
        <w:rPr>
          <w:rFonts w:asciiTheme="majorHAnsi" w:hAnsiTheme="majorHAnsi" w:cstheme="majorHAnsi"/>
        </w:rPr>
      </w:pPr>
    </w:p>
    <w:p w:rsidR="00B4771E" w:rsidRDefault="00B4771E" w:rsidP="00986D51">
      <w:pPr>
        <w:spacing w:before="100" w:beforeAutospacing="1" w:after="100" w:afterAutospacing="1" w:line="240" w:lineRule="auto"/>
        <w:jc w:val="left"/>
        <w:textAlignment w:val="baseline"/>
        <w:rPr>
          <w:rFonts w:asciiTheme="majorHAnsi" w:hAnsiTheme="majorHAnsi" w:cstheme="majorHAnsi"/>
        </w:rPr>
      </w:pPr>
    </w:p>
    <w:p w:rsidR="00B4771E" w:rsidRPr="00986D51" w:rsidRDefault="00B4771E" w:rsidP="00986D51">
      <w:pPr>
        <w:spacing w:before="100" w:beforeAutospacing="1" w:after="0" w:line="240" w:lineRule="auto"/>
        <w:jc w:val="left"/>
        <w:textAlignment w:val="baseline"/>
        <w:rPr>
          <w:rFonts w:asciiTheme="majorHAnsi" w:hAnsiTheme="majorHAnsi" w:cstheme="majorHAnsi"/>
          <w:lang w:val="en-GB"/>
        </w:rPr>
      </w:pPr>
      <w:r w:rsidRPr="00986D51">
        <w:rPr>
          <w:rFonts w:asciiTheme="majorHAnsi" w:hAnsiTheme="majorHAnsi" w:cstheme="majorHAnsi"/>
          <w:lang w:val="en-GB"/>
        </w:rPr>
        <w:t>Na podstawie:</w:t>
      </w:r>
    </w:p>
    <w:p w:rsidR="00B4771E" w:rsidRPr="00B4771E" w:rsidRDefault="00B4771E" w:rsidP="00986D51">
      <w:pPr>
        <w:spacing w:after="0" w:line="240" w:lineRule="auto"/>
        <w:jc w:val="left"/>
        <w:textAlignment w:val="baseline"/>
        <w:rPr>
          <w:rFonts w:ascii="Calibri Light" w:hAnsi="Calibri Light" w:cs="Calibri Light"/>
        </w:rPr>
      </w:pPr>
      <w:r w:rsidRPr="00B4771E">
        <w:rPr>
          <w:rFonts w:ascii="Calibri Light" w:hAnsi="Calibri Light" w:cs="Calibri Light"/>
          <w:shd w:val="clear" w:color="auto" w:fill="FFFFFF"/>
          <w:lang w:val="en-GB"/>
        </w:rPr>
        <w:t xml:space="preserve">*Leard LE, Holm AM, Valapour M, et al. Consensus document for the selection of lung transplant candidates: An update from the International Society for Heart and Lung Transplantation. </w:t>
      </w:r>
      <w:r w:rsidRPr="00B4771E">
        <w:rPr>
          <w:rFonts w:ascii="Calibri Light" w:hAnsi="Calibri Light" w:cs="Calibri Light"/>
          <w:shd w:val="clear" w:color="auto" w:fill="FFFFFF"/>
        </w:rPr>
        <w:t>J Heart Lung Transplant. 2021; 40(11): 1349–1379, doi: 10.1016/j.healun.2021.07.005</w:t>
      </w:r>
    </w:p>
    <w:sectPr w:rsidR="00B4771E" w:rsidRPr="00B4771E" w:rsidSect="00B47F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18E6"/>
    <w:multiLevelType w:val="multilevel"/>
    <w:tmpl w:val="CDBA0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8D6A38"/>
    <w:multiLevelType w:val="hybridMultilevel"/>
    <w:tmpl w:val="63DC8A9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2C4723"/>
    <w:multiLevelType w:val="hybridMultilevel"/>
    <w:tmpl w:val="02163D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BE3B6A"/>
    <w:multiLevelType w:val="hybridMultilevel"/>
    <w:tmpl w:val="34807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7E74CB"/>
    <w:multiLevelType w:val="multilevel"/>
    <w:tmpl w:val="CCA46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2D5B9A"/>
    <w:multiLevelType w:val="multilevel"/>
    <w:tmpl w:val="F0AEC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0D1B0B"/>
    <w:multiLevelType w:val="hybridMultilevel"/>
    <w:tmpl w:val="0DEA48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A17BC0"/>
    <w:multiLevelType w:val="hybridMultilevel"/>
    <w:tmpl w:val="7832A66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6827BE"/>
    <w:multiLevelType w:val="multilevel"/>
    <w:tmpl w:val="D1207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DD4FD5"/>
    <w:multiLevelType w:val="hybridMultilevel"/>
    <w:tmpl w:val="BC00F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A15F67"/>
    <w:multiLevelType w:val="multilevel"/>
    <w:tmpl w:val="5CDE2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13698D"/>
    <w:multiLevelType w:val="hybridMultilevel"/>
    <w:tmpl w:val="C9B019A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B3703C"/>
    <w:multiLevelType w:val="hybridMultilevel"/>
    <w:tmpl w:val="68A2AD5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EF3F09"/>
    <w:multiLevelType w:val="hybridMultilevel"/>
    <w:tmpl w:val="7FA8C2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377E21"/>
    <w:multiLevelType w:val="hybridMultilevel"/>
    <w:tmpl w:val="28967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7D5755"/>
    <w:multiLevelType w:val="hybridMultilevel"/>
    <w:tmpl w:val="087607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4935E7"/>
    <w:multiLevelType w:val="hybridMultilevel"/>
    <w:tmpl w:val="10167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0D0AD4"/>
    <w:multiLevelType w:val="multilevel"/>
    <w:tmpl w:val="2286B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0"/>
  </w:num>
  <w:num w:numId="3">
    <w:abstractNumId w:val="4"/>
  </w:num>
  <w:num w:numId="4">
    <w:abstractNumId w:val="8"/>
  </w:num>
  <w:num w:numId="5">
    <w:abstractNumId w:val="5"/>
  </w:num>
  <w:num w:numId="6">
    <w:abstractNumId w:val="10"/>
  </w:num>
  <w:num w:numId="7">
    <w:abstractNumId w:val="6"/>
  </w:num>
  <w:num w:numId="8">
    <w:abstractNumId w:val="12"/>
  </w:num>
  <w:num w:numId="9">
    <w:abstractNumId w:val="13"/>
  </w:num>
  <w:num w:numId="10">
    <w:abstractNumId w:val="11"/>
  </w:num>
  <w:num w:numId="11">
    <w:abstractNumId w:val="3"/>
  </w:num>
  <w:num w:numId="12">
    <w:abstractNumId w:val="15"/>
  </w:num>
  <w:num w:numId="13">
    <w:abstractNumId w:val="7"/>
  </w:num>
  <w:num w:numId="14">
    <w:abstractNumId w:val="16"/>
  </w:num>
  <w:num w:numId="15">
    <w:abstractNumId w:val="1"/>
  </w:num>
  <w:num w:numId="16">
    <w:abstractNumId w:val="9"/>
  </w:num>
  <w:num w:numId="17">
    <w:abstractNumId w:val="14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1337D9"/>
    <w:rsid w:val="000A02B0"/>
    <w:rsid w:val="001337D9"/>
    <w:rsid w:val="002856ED"/>
    <w:rsid w:val="002C0B76"/>
    <w:rsid w:val="00312CC0"/>
    <w:rsid w:val="0047552D"/>
    <w:rsid w:val="004A2841"/>
    <w:rsid w:val="0065587F"/>
    <w:rsid w:val="007F43E0"/>
    <w:rsid w:val="008B3805"/>
    <w:rsid w:val="00986D51"/>
    <w:rsid w:val="00A81608"/>
    <w:rsid w:val="00AA37B3"/>
    <w:rsid w:val="00B4771E"/>
    <w:rsid w:val="00B47F87"/>
    <w:rsid w:val="00F01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37D9"/>
  </w:style>
  <w:style w:type="paragraph" w:styleId="Nagwek1">
    <w:name w:val="heading 1"/>
    <w:basedOn w:val="Normalny"/>
    <w:next w:val="Normalny"/>
    <w:link w:val="Nagwek1Znak"/>
    <w:uiPriority w:val="9"/>
    <w:qFormat/>
    <w:rsid w:val="001337D9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37D9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37D9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37D9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37D9"/>
    <w:pPr>
      <w:spacing w:before="200" w:after="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337D9"/>
    <w:pPr>
      <w:spacing w:after="0"/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337D9"/>
    <w:pPr>
      <w:spacing w:after="0"/>
      <w:jc w:val="left"/>
      <w:outlineLvl w:val="6"/>
    </w:pPr>
    <w:rPr>
      <w:b/>
      <w:smallCaps/>
      <w:color w:val="ED7D31" w:themeColor="accent2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37D9"/>
    <w:pPr>
      <w:spacing w:after="0"/>
      <w:jc w:val="left"/>
      <w:outlineLvl w:val="7"/>
    </w:pPr>
    <w:rPr>
      <w:b/>
      <w:i/>
      <w:smallCaps/>
      <w:color w:val="C45911" w:themeColor="accent2" w:themeShade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337D9"/>
    <w:pPr>
      <w:spacing w:after="0"/>
      <w:jc w:val="left"/>
      <w:outlineLvl w:val="8"/>
    </w:pPr>
    <w:rPr>
      <w:b/>
      <w:i/>
      <w:smallCaps/>
      <w:color w:val="823B0B" w:themeColor="accent2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337D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uiPriority w:val="22"/>
    <w:qFormat/>
    <w:rsid w:val="001337D9"/>
    <w:rPr>
      <w:b/>
      <w:color w:val="ED7D31" w:themeColor="accent2"/>
    </w:rPr>
  </w:style>
  <w:style w:type="character" w:customStyle="1" w:styleId="apple-converted-space">
    <w:name w:val="apple-converted-space"/>
    <w:basedOn w:val="Domylnaczcionkaakapitu"/>
    <w:rsid w:val="001337D9"/>
  </w:style>
  <w:style w:type="table" w:customStyle="1" w:styleId="PlainTable2">
    <w:name w:val="Plain Table 2"/>
    <w:basedOn w:val="Standardowy"/>
    <w:uiPriority w:val="42"/>
    <w:rsid w:val="001337D9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sid w:val="001337D9"/>
    <w:rPr>
      <w:smallCaps/>
      <w:spacing w:val="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37D9"/>
    <w:rPr>
      <w:smallCaps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37D9"/>
    <w:rPr>
      <w:smallCaps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337D9"/>
    <w:rPr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37D9"/>
    <w:rPr>
      <w:smallCaps/>
      <w:color w:val="C45911" w:themeColor="accent2" w:themeShade="BF"/>
      <w:spacing w:val="10"/>
      <w:sz w:val="22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337D9"/>
    <w:rPr>
      <w:smallCaps/>
      <w:color w:val="ED7D31" w:themeColor="accent2"/>
      <w:spacing w:val="5"/>
      <w:sz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337D9"/>
    <w:rPr>
      <w:b/>
      <w:smallCaps/>
      <w:color w:val="ED7D31" w:themeColor="accent2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37D9"/>
    <w:rPr>
      <w:b/>
      <w:i/>
      <w:smallCaps/>
      <w:color w:val="C45911" w:themeColor="accent2" w:themeShade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337D9"/>
    <w:rPr>
      <w:b/>
      <w:i/>
      <w:smallCaps/>
      <w:color w:val="823B0B" w:themeColor="accent2" w:themeShade="7F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1337D9"/>
    <w:rPr>
      <w:b/>
      <w:bCs/>
      <w:caps/>
      <w:sz w:val="16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1337D9"/>
    <w:pPr>
      <w:pBdr>
        <w:top w:val="single" w:sz="12" w:space="1" w:color="ED7D31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1337D9"/>
    <w:rPr>
      <w:smallCaps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337D9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1337D9"/>
    <w:rPr>
      <w:rFonts w:asciiTheme="majorHAnsi" w:eastAsiaTheme="majorEastAsia" w:hAnsiTheme="majorHAnsi" w:cstheme="majorBidi"/>
      <w:szCs w:val="22"/>
    </w:rPr>
  </w:style>
  <w:style w:type="character" w:styleId="Uwydatnienie">
    <w:name w:val="Emphasis"/>
    <w:uiPriority w:val="20"/>
    <w:qFormat/>
    <w:rsid w:val="001337D9"/>
    <w:rPr>
      <w:b/>
      <w:i/>
      <w:spacing w:val="10"/>
    </w:rPr>
  </w:style>
  <w:style w:type="paragraph" w:styleId="Bezodstpw">
    <w:name w:val="No Spacing"/>
    <w:basedOn w:val="Normalny"/>
    <w:link w:val="BezodstpwZnak"/>
    <w:uiPriority w:val="1"/>
    <w:qFormat/>
    <w:rsid w:val="001337D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337D9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1337D9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1337D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37D9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37D9"/>
    <w:rPr>
      <w:b/>
      <w:i/>
      <w:color w:val="FFFFFF" w:themeColor="background1"/>
      <w:shd w:val="clear" w:color="auto" w:fill="ED7D31" w:themeFill="accent2"/>
    </w:rPr>
  </w:style>
  <w:style w:type="character" w:styleId="Wyrnieniedelikatne">
    <w:name w:val="Subtle Emphasis"/>
    <w:uiPriority w:val="19"/>
    <w:qFormat/>
    <w:rsid w:val="001337D9"/>
    <w:rPr>
      <w:i/>
    </w:rPr>
  </w:style>
  <w:style w:type="character" w:styleId="Wyrnienieintensywne">
    <w:name w:val="Intense Emphasis"/>
    <w:uiPriority w:val="21"/>
    <w:qFormat/>
    <w:rsid w:val="001337D9"/>
    <w:rPr>
      <w:b/>
      <w:i/>
      <w:color w:val="ED7D31" w:themeColor="accent2"/>
      <w:spacing w:val="10"/>
    </w:rPr>
  </w:style>
  <w:style w:type="character" w:styleId="Odwoaniedelikatne">
    <w:name w:val="Subtle Reference"/>
    <w:uiPriority w:val="31"/>
    <w:qFormat/>
    <w:rsid w:val="001337D9"/>
    <w:rPr>
      <w:b/>
    </w:rPr>
  </w:style>
  <w:style w:type="character" w:styleId="Odwoanieintensywne">
    <w:name w:val="Intense Reference"/>
    <w:uiPriority w:val="32"/>
    <w:qFormat/>
    <w:rsid w:val="001337D9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1337D9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337D9"/>
    <w:pPr>
      <w:outlineLvl w:val="9"/>
    </w:pPr>
  </w:style>
  <w:style w:type="character" w:customStyle="1" w:styleId="BezodstpwZnak">
    <w:name w:val="Bez odstępów Znak"/>
    <w:basedOn w:val="Domylnaczcionkaakapitu"/>
    <w:link w:val="Bezodstpw"/>
    <w:uiPriority w:val="1"/>
    <w:rsid w:val="001337D9"/>
  </w:style>
  <w:style w:type="character" w:styleId="Hipercze">
    <w:name w:val="Hyperlink"/>
    <w:basedOn w:val="Domylnaczcionkaakapitu"/>
    <w:uiPriority w:val="99"/>
    <w:unhideWhenUsed/>
    <w:rsid w:val="008B3805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B380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5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8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0375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3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ransplantacjapluc@wcpit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ransplantacjapluc@wcpit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67F00E8-5DF0-4FD2-907A-1F5AAE99A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964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Fryderyk Zawadzki</dc:creator>
  <cp:lastModifiedBy>mantoniewicz</cp:lastModifiedBy>
  <cp:revision>2</cp:revision>
  <cp:lastPrinted>2024-05-23T10:17:00Z</cp:lastPrinted>
  <dcterms:created xsi:type="dcterms:W3CDTF">2024-05-27T10:35:00Z</dcterms:created>
  <dcterms:modified xsi:type="dcterms:W3CDTF">2024-05-27T10:35:00Z</dcterms:modified>
</cp:coreProperties>
</file>